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РОССИЙСКАЯ ФЕДЕРАЦИЯ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КАРАЧАЕВО-ЧЕРКЕССКАЯ РЕСПУБЛИКА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УРУПСКИЙ  МУНИЦИПАЛЬНЫЙ РАЙОН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 xml:space="preserve">СОВЕТ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ПРЕДГОРНЕНСКОГО СЕЛЬСКОГО ПОСЕЛЕНИЯ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РЕШЕНИЕ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30.08.2019г.                                                                                               №18                                                                 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Cs/>
          <w:sz w:val="28"/>
          <w:szCs w:val="28"/>
          <w:lang w:eastAsia="zh-CN"/>
        </w:rPr>
        <w:t xml:space="preserve">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bCs/>
          <w:sz w:val="24"/>
          <w:szCs w:val="24"/>
          <w:lang w:eastAsia="zh-CN"/>
        </w:rPr>
        <w:t>О внесении изменений в решение Совета</w:t>
      </w:r>
      <w:bookmarkStart w:id="0" w:name="_GoBack"/>
      <w:bookmarkEnd w:id="0"/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bCs/>
          <w:sz w:val="24"/>
          <w:szCs w:val="24"/>
          <w:lang w:eastAsia="zh-CN"/>
        </w:rPr>
        <w:t xml:space="preserve">Предгорненского сельского </w:t>
      </w: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zh-CN"/>
        </w:rPr>
        <w:t xml:space="preserve">поселения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bCs/>
          <w:color w:val="000000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zh-CN"/>
        </w:rPr>
        <w:t xml:space="preserve">от 12.12.2018 № 37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bCs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zh-CN"/>
        </w:rPr>
        <w:t>«</w:t>
      </w:r>
      <w:r>
        <w:rPr>
          <w:rFonts w:eastAsia="Times New Roman" w:cs="Times New Roman CYR" w:ascii="Times New Roman CYR" w:hAnsi="Times New Roman CYR"/>
          <w:bCs/>
          <w:sz w:val="24"/>
          <w:szCs w:val="24"/>
          <w:lang w:eastAsia="zh-CN"/>
        </w:rPr>
        <w:t>О бюджете Предгорненского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bCs/>
          <w:sz w:val="24"/>
          <w:szCs w:val="24"/>
          <w:lang w:eastAsia="zh-CN"/>
        </w:rPr>
        <w:t xml:space="preserve">сельского </w:t>
      </w: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zh-CN"/>
        </w:rPr>
        <w:t>поселения на 2019 год».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соответствии со статьей 160.1 Бюджетного кодекса Российской Федерации,в связи с уточнением кодов бюджетной классификации,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  <w:t>перераспределения бюджетных средств сельского поселения в пределах сметных назначений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,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Совет Предгорненского сельского поселения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zh-CN"/>
        </w:rPr>
        <w:t>Утвержденный дефицит бюджета :18,45825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 Е Ш И Л:</w:t>
      </w:r>
    </w:p>
    <w:p>
      <w:pPr>
        <w:pStyle w:val="Normal"/>
        <w:keepNext w:val="tru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  <w:t xml:space="preserve">1. Внести в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решение </w:t>
      </w:r>
      <w:r>
        <w:rPr>
          <w:rFonts w:eastAsia="Times New Roman" w:cs="Times New Roman CYR" w:ascii="Times New Roman CYR" w:hAnsi="Times New Roman CYR"/>
          <w:bCs/>
          <w:sz w:val="24"/>
          <w:szCs w:val="24"/>
          <w:lang w:eastAsia="zh-CN"/>
        </w:rPr>
        <w:t xml:space="preserve">Совета   Предгорненского сельского </w:t>
      </w: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zh-CN"/>
        </w:rPr>
        <w:t>поселения от 12.12.2018 № 37«</w:t>
      </w:r>
      <w:r>
        <w:rPr>
          <w:rFonts w:eastAsia="Times New Roman" w:cs="Times New Roman CYR" w:ascii="Times New Roman CYR" w:hAnsi="Times New Roman CYR"/>
          <w:bCs/>
          <w:sz w:val="24"/>
          <w:szCs w:val="24"/>
          <w:lang w:eastAsia="zh-CN"/>
        </w:rPr>
        <w:t xml:space="preserve">О  бюджете Предгорненского сельского </w:t>
      </w: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zh-CN"/>
        </w:rPr>
        <w:t xml:space="preserve">поселения на 2019 год»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(в редакции решений Совета Предгорненского сельского поселения от 15.01.2019г. №5; от 19.06.2019г.№13)</w:t>
      </w: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zh-CN"/>
        </w:rPr>
        <w:t xml:space="preserve"> следующие изменения: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1)Уменьшить плановые назначения по расходам: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по разделу 0412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КБК   301 0412 9990007000 245 226 в сумме 25000 рублей  = 25,0 тыс. рублей «</w:t>
      </w: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  <w:t xml:space="preserve">Прочие работы, услуги»  </w:t>
      </w:r>
    </w:p>
    <w:p>
      <w:pPr>
        <w:pStyle w:val="Normal"/>
        <w:shd w:val="clear" w:color="auto" w:fill="FFFFFF"/>
        <w:tabs>
          <w:tab w:val="clear" w:pos="708"/>
          <w:tab w:val="left" w:pos="54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clear" w:pos="708"/>
          <w:tab w:val="left" w:pos="54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clear" w:pos="708"/>
          <w:tab w:val="left" w:pos="54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Увеличить плановые назначения по расходам: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  <w:t xml:space="preserve">      </w:t>
      </w: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  <w:t xml:space="preserve">по подразделу 0104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  <w:t xml:space="preserve">   </w:t>
      </w: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  <w:t>КБК 301 0104 7220020400 244 223 «Коммунальные услуги » 25,000 тыс.  руб.;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bCs/>
          <w:color w:val="000000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/>
        </w:rPr>
        <w:t>2) Статью 1  пункт 1 изложить в следующей редакции: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Утвердить бюджет Предгорненского сельского поселения  (далее – местный бюджет) на 2019 год по доходам в сумме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2640900,00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рублей по расходам в сумме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2659358,25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рублей.</w:t>
      </w:r>
    </w:p>
    <w:p>
      <w:pPr>
        <w:pStyle w:val="Normal"/>
        <w:widowControl w:val="false"/>
        <w:suppressAutoHyphens w:val="true"/>
        <w:spacing w:lineRule="exact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keepNext w:val="tru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3) В приложении  к решению Совета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Предгорненского  сельского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/>
        </w:rPr>
        <w:t>поселения от 12.12.2018 № 37 «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О  бюджете Предгорненского сельского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/>
        </w:rPr>
        <w:t xml:space="preserve">поселения на 2019 год» № 4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«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Распределение расходов по ведомственной классификации расходов бюджета Предгорненского сельского поселения на 2019 год»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изложить в </w:t>
      </w:r>
      <w:r>
        <w:rPr>
          <w:rFonts w:cs="Times New Roman" w:ascii="Times New Roman" w:hAnsi="Times New Roman"/>
          <w:color w:val="000000"/>
          <w:sz w:val="24"/>
          <w:szCs w:val="24"/>
        </w:rPr>
        <w:t>следующей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редакции следующие строки:  </w:t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576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Приложение 4</w:t>
      </w:r>
    </w:p>
    <w:p>
      <w:pPr>
        <w:pStyle w:val="Normal"/>
        <w:spacing w:lineRule="auto" w:line="240" w:before="0" w:after="0"/>
        <w:ind w:left="43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</w:rPr>
        <w:t>к решению Совета Предгорненского</w:t>
      </w:r>
    </w:p>
    <w:p>
      <w:pPr>
        <w:pStyle w:val="Normal"/>
        <w:spacing w:lineRule="auto" w:line="240" w:before="0" w:after="0"/>
        <w:ind w:left="43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</w:rPr>
        <w:t>сельского поселения</w:t>
      </w:r>
    </w:p>
    <w:p>
      <w:pPr>
        <w:pStyle w:val="Normal"/>
        <w:spacing w:lineRule="auto" w:line="240" w:before="0" w:after="0"/>
        <w:ind w:left="43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</w:rPr>
        <w:t>от 12.12.2018  № 37</w:t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Распределение расходов по ведомственной классификации расходов  к бюджету Предгорненского сельского поселения на 2019 год</w:t>
      </w:r>
    </w:p>
    <w:tbl>
      <w:tblPr>
        <w:tblW w:w="11663" w:type="dxa"/>
        <w:jc w:val="left"/>
        <w:tblInd w:w="-18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70"/>
        <w:gridCol w:w="615"/>
        <w:gridCol w:w="799"/>
        <w:gridCol w:w="1843"/>
        <w:gridCol w:w="681"/>
        <w:gridCol w:w="636"/>
        <w:gridCol w:w="1496"/>
        <w:gridCol w:w="11"/>
        <w:gridCol w:w="1596"/>
        <w:gridCol w:w="14"/>
      </w:tblGrid>
      <w:tr>
        <w:trPr>
          <w:trHeight w:val="282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главного распорядителя кредитов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Гл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Рз 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607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бюджета – всего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2659,3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1681,5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Администрация Предгорненского  сельского поселения  Карачаево- Черкесской Республики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1671,5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3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1671,5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1671,5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1671,5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1352,9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1352,9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1038,6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Начислениянаоплатутруда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313,7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1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133,6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Услуги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связи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Прочие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услуги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226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97,3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Коммунальные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услуги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Арендная плата за пользованием имущества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Прочие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услуги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Увеличение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стоимости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материальных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запасов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стоимости  горюче-смазочных материалов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343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36,0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стоимости  прочих оборотных запасов (материалов)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выборов, референдумов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99 9 00 02000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99 9 00 02000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выплаты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99 9 00 02000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Резервные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фонды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99 9 00 07005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Резервные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средства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99 9 00 07005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8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99 9 00 07005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99 9 00 07005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выплаты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99 9 00 07005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целевая программа «Развитие объектов малого и среднего предпринимательства на территории Предгорненского сельского поселения  на 2017-2019 годы»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02 10060600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0113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02 100 60600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02 100 60600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02 100 60600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02 100 60600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02 100 60600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02 100 60600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Национальная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оборона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Заработная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плата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2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39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Увеличение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стоимости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материальных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запасов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Увеличение стоимости  прочих оборотных запасов (материалов)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9,9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5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3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мероприятий в рамках муниципальной целевой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3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111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предупреждению и ликвидации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последствий чрезвычайных ситуаций и стихийных бедствий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45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предупреждению и ликвидации ЧС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01 1 00 21801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9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01 1 00 21801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9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01 1 00 21801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Прочие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услуги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01 1 00 21801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01 1 00 20267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Прочие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услуги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01 1 00 20267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Увеличение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стоимости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материальных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запасов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01 1 00 20267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Увеличение стоимости  прочих оборотных запасов (материалов)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01 100 20267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 в области геодезии и картографии вне рамок государственного оборонного заказа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99 9 00 07000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136,3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Прочие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услуги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01 1 00 10502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</w:rPr>
              <w:t>414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99 9 00 00100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99 9 00 00100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мероприятий в рамках муниципальной целевой программы «Комплексное развитие социальной инфраструктуры Предгорненского сельского поселения Урупского муниципального района Карачаево-Черкесской Республики на 2016-2028 годы»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82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01 1 00 44099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171,3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55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en-US"/>
              </w:rPr>
              <w:t>Обеспечение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en-US"/>
              </w:rPr>
              <w:t>деятельности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en-US"/>
              </w:rPr>
              <w:t>подведомственных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en-US"/>
              </w:rPr>
              <w:t>учреждений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01 1 00 44099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171,3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7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01 1 00 44099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171,3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54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01 1 00 44099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171,3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28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01 1 00 44099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4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Начисления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оплату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труда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01 1 00 44099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9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01 1 00 44099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3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01 1 00 44099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8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>Библиотеки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01 1 00 44299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174,9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57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</w:rPr>
              <w:t>Обеспечение деятельности по дведомственных учреждений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01 1 00 44299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174,9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7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01 1 00 44299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171,3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01 1 00 44299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171,3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28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01 1 00 44299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4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Начисления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оплату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труда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01 1 00 44299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9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01 1 00 44299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3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01 1 00 44299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0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 услуги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01 1 00 44299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0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70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99 9 00 49101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0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99 9 00 49101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52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99 9 00 49101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7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99 9 00 49101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eastAsia="zh-CN"/>
        </w:rPr>
        <w:t>2</w:t>
      </w: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  <w:t xml:space="preserve">. Контроль исполнения данного решения возложить на главного специалиста администрации Предгорненского сельского поселения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А.З.Байчорову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  <w:t>3.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Настоящее решение обнародовать на  информационном щите администрации Предгорненского сельского поселения, на доске объявлений, с.Предгорное в здании администрации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Глава Предгорненского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сельского поселения                                                                               Р. О. Хубиев</w:t>
      </w:r>
    </w:p>
    <w:p>
      <w:pPr>
        <w:pStyle w:val="Normal"/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  <w:t xml:space="preserve">  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ПОЯСНИТЕЛЬНАЯ ЗАПИСКА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к решению</w:t>
      </w: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  <w:t xml:space="preserve">  Совета   Предгорненского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сельского поселения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«О внесении изменений в решение Совета Предгорненского сельского    поселения от 12.12.2018 года № 37 «О бюджете Предгорненского сельского поселения на 2019 год»</w:t>
      </w:r>
    </w:p>
    <w:p>
      <w:pPr>
        <w:pStyle w:val="Normal"/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bCs/>
          <w:color w:val="000000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приложении № 4 «Распределение расходов по ведомственной классификации расходов  к бюджету Предгорненского сельского поселения на 2019 год»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по разделу 0412  «Прочии работы ,услуги », Гл 301, Цел 9990007000, Вид 245, Кл 226 уменьшить  на 25 000 рублей =25,0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а) 301 0412 7220020400  245 226 в сумме 80 000 рублей = 80,0 тыс. рублей, заменить на сумму 55,0 тыс.рублей;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по разделу 0104 «Коммунальные услуги» Гл.301,Цель 7220020400, Вид 244,  Кл 223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увеличить на 25 000рублей =25,0 тыс.рублей;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б) 301 0104 7220020400 244 223 в сумме 61 000 рублей =61,0 тыс. рублей, </w:t>
        <w:tab/>
        <w:t xml:space="preserve">заменить на сумму 86,0 тыс.рублей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right="180" w:firstLine="708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right="180" w:firstLine="708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right="180" w:firstLine="708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right="180" w:firstLine="708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  <w:t>2.  Главному бухгалтеру администрации Предгорненского сельского поселения произвести соответствующие изменения в бюджете сельского поселения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  <w:t>Глава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Предгорненского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сельского поселения                                                                                      Р.О.Хубиев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sz w:val="28"/>
          <w:szCs w:val="28"/>
        </w:rPr>
      </w:pPr>
      <w:r>
        <w:rPr>
          <w:rFonts w:eastAsia="Times New Roman" w:cs="Arial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sz w:val="28"/>
          <w:szCs w:val="28"/>
        </w:rPr>
      </w:pPr>
      <w:r>
        <w:rPr>
          <w:rFonts w:eastAsia="Times New Roman" w:cs="Arial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sz w:val="28"/>
          <w:szCs w:val="28"/>
        </w:rPr>
      </w:pPr>
      <w:r>
        <w:rPr>
          <w:rFonts w:eastAsia="Times New Roman" w:cs="Arial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2e4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a24743"/>
    <w:pPr>
      <w:keepNext w:val="true"/>
      <w:widowControl w:val="false"/>
      <w:numPr>
        <w:ilvl w:val="0"/>
        <w:numId w:val="1"/>
      </w:numPr>
      <w:shd w:val="clear" w:color="auto" w:fill="FFFFFF"/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color w:val="000000"/>
      <w:sz w:val="24"/>
      <w:szCs w:val="24"/>
      <w:lang w:val="x-none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semiHidden/>
    <w:qFormat/>
    <w:rsid w:val="00761f3b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unhideWhenUsed/>
    <w:rsid w:val="00432e43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a24743"/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val="x-none" w:eastAsia="zh-CN"/>
    </w:rPr>
  </w:style>
  <w:style w:type="character" w:styleId="Style15" w:customStyle="1">
    <w:name w:val="Верхний колонтитул Знак"/>
    <w:basedOn w:val="DefaultParagraphFont"/>
    <w:semiHidden/>
    <w:qFormat/>
    <w:rsid w:val="00a24743"/>
    <w:rPr/>
  </w:style>
  <w:style w:type="character" w:styleId="Style16" w:customStyle="1">
    <w:name w:val="Нижний колонтитул Знак"/>
    <w:basedOn w:val="DefaultParagraphFont"/>
    <w:semiHidden/>
    <w:qFormat/>
    <w:rsid w:val="00a24743"/>
    <w:rPr/>
  </w:style>
  <w:style w:type="character" w:styleId="Style17" w:customStyle="1">
    <w:name w:val="Подзаголовок Знак"/>
    <w:basedOn w:val="DefaultParagraphFont"/>
    <w:link w:val="aa"/>
    <w:qFormat/>
    <w:rsid w:val="00a24743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zh-CN"/>
    </w:rPr>
  </w:style>
  <w:style w:type="character" w:styleId="Style18" w:customStyle="1">
    <w:name w:val="Основной текст Знак"/>
    <w:basedOn w:val="DefaultParagraphFont"/>
    <w:semiHidden/>
    <w:qFormat/>
    <w:rsid w:val="00a24743"/>
    <w:rPr/>
  </w:style>
  <w:style w:type="character" w:styleId="WW8Num1z0" w:customStyle="1">
    <w:name w:val="WW8Num1z0"/>
    <w:qFormat/>
    <w:rsid w:val="00a24743"/>
    <w:rPr/>
  </w:style>
  <w:style w:type="character" w:styleId="WW8Num1z1" w:customStyle="1">
    <w:name w:val="WW8Num1z1"/>
    <w:qFormat/>
    <w:rsid w:val="00a24743"/>
    <w:rPr/>
  </w:style>
  <w:style w:type="character" w:styleId="WW8Num1z2" w:customStyle="1">
    <w:name w:val="WW8Num1z2"/>
    <w:qFormat/>
    <w:rsid w:val="00a24743"/>
    <w:rPr/>
  </w:style>
  <w:style w:type="character" w:styleId="WW8Num1z3" w:customStyle="1">
    <w:name w:val="WW8Num1z3"/>
    <w:qFormat/>
    <w:rsid w:val="00a24743"/>
    <w:rPr/>
  </w:style>
  <w:style w:type="character" w:styleId="WW8Num1z4" w:customStyle="1">
    <w:name w:val="WW8Num1z4"/>
    <w:qFormat/>
    <w:rsid w:val="00a24743"/>
    <w:rPr/>
  </w:style>
  <w:style w:type="character" w:styleId="WW8Num1z5" w:customStyle="1">
    <w:name w:val="WW8Num1z5"/>
    <w:qFormat/>
    <w:rsid w:val="00a24743"/>
    <w:rPr/>
  </w:style>
  <w:style w:type="character" w:styleId="WW8Num1z6" w:customStyle="1">
    <w:name w:val="WW8Num1z6"/>
    <w:qFormat/>
    <w:rsid w:val="00a24743"/>
    <w:rPr/>
  </w:style>
  <w:style w:type="character" w:styleId="WW8Num1z7" w:customStyle="1">
    <w:name w:val="WW8Num1z7"/>
    <w:qFormat/>
    <w:rsid w:val="00a24743"/>
    <w:rPr/>
  </w:style>
  <w:style w:type="character" w:styleId="WW8Num1z8" w:customStyle="1">
    <w:name w:val="WW8Num1z8"/>
    <w:qFormat/>
    <w:rsid w:val="00a24743"/>
    <w:rPr/>
  </w:style>
  <w:style w:type="character" w:styleId="WW8Num2z0" w:customStyle="1">
    <w:name w:val="WW8Num2z0"/>
    <w:qFormat/>
    <w:rsid w:val="00a24743"/>
    <w:rPr/>
  </w:style>
  <w:style w:type="character" w:styleId="WW8Num2z1" w:customStyle="1">
    <w:name w:val="WW8Num2z1"/>
    <w:qFormat/>
    <w:rsid w:val="00a24743"/>
    <w:rPr/>
  </w:style>
  <w:style w:type="character" w:styleId="WW8Num2z2" w:customStyle="1">
    <w:name w:val="WW8Num2z2"/>
    <w:qFormat/>
    <w:rsid w:val="00a24743"/>
    <w:rPr/>
  </w:style>
  <w:style w:type="character" w:styleId="WW8Num2z3" w:customStyle="1">
    <w:name w:val="WW8Num2z3"/>
    <w:qFormat/>
    <w:rsid w:val="00a24743"/>
    <w:rPr/>
  </w:style>
  <w:style w:type="character" w:styleId="WW8Num2z4" w:customStyle="1">
    <w:name w:val="WW8Num2z4"/>
    <w:qFormat/>
    <w:rsid w:val="00a24743"/>
    <w:rPr/>
  </w:style>
  <w:style w:type="character" w:styleId="WW8Num2z5" w:customStyle="1">
    <w:name w:val="WW8Num2z5"/>
    <w:qFormat/>
    <w:rsid w:val="00a24743"/>
    <w:rPr/>
  </w:style>
  <w:style w:type="character" w:styleId="WW8Num2z6" w:customStyle="1">
    <w:name w:val="WW8Num2z6"/>
    <w:qFormat/>
    <w:rsid w:val="00a24743"/>
    <w:rPr/>
  </w:style>
  <w:style w:type="character" w:styleId="WW8Num2z7" w:customStyle="1">
    <w:name w:val="WW8Num2z7"/>
    <w:qFormat/>
    <w:rsid w:val="00a24743"/>
    <w:rPr/>
  </w:style>
  <w:style w:type="character" w:styleId="WW8Num2z8" w:customStyle="1">
    <w:name w:val="WW8Num2z8"/>
    <w:qFormat/>
    <w:rsid w:val="00a24743"/>
    <w:rPr/>
  </w:style>
  <w:style w:type="character" w:styleId="WW8Num3z0" w:customStyle="1">
    <w:name w:val="WW8Num3z0"/>
    <w:qFormat/>
    <w:rsid w:val="00a24743"/>
    <w:rPr/>
  </w:style>
  <w:style w:type="character" w:styleId="WW8Num3z1" w:customStyle="1">
    <w:name w:val="WW8Num3z1"/>
    <w:qFormat/>
    <w:rsid w:val="00a24743"/>
    <w:rPr/>
  </w:style>
  <w:style w:type="character" w:styleId="WW8Num3z2" w:customStyle="1">
    <w:name w:val="WW8Num3z2"/>
    <w:qFormat/>
    <w:rsid w:val="00a24743"/>
    <w:rPr/>
  </w:style>
  <w:style w:type="character" w:styleId="WW8Num3z3" w:customStyle="1">
    <w:name w:val="WW8Num3z3"/>
    <w:qFormat/>
    <w:rsid w:val="00a24743"/>
    <w:rPr/>
  </w:style>
  <w:style w:type="character" w:styleId="WW8Num3z4" w:customStyle="1">
    <w:name w:val="WW8Num3z4"/>
    <w:qFormat/>
    <w:rsid w:val="00a24743"/>
    <w:rPr/>
  </w:style>
  <w:style w:type="character" w:styleId="WW8Num3z5" w:customStyle="1">
    <w:name w:val="WW8Num3z5"/>
    <w:qFormat/>
    <w:rsid w:val="00a24743"/>
    <w:rPr/>
  </w:style>
  <w:style w:type="character" w:styleId="WW8Num3z6" w:customStyle="1">
    <w:name w:val="WW8Num3z6"/>
    <w:qFormat/>
    <w:rsid w:val="00a24743"/>
    <w:rPr/>
  </w:style>
  <w:style w:type="character" w:styleId="WW8Num3z7" w:customStyle="1">
    <w:name w:val="WW8Num3z7"/>
    <w:qFormat/>
    <w:rsid w:val="00a24743"/>
    <w:rPr/>
  </w:style>
  <w:style w:type="character" w:styleId="WW8Num3z8" w:customStyle="1">
    <w:name w:val="WW8Num3z8"/>
    <w:qFormat/>
    <w:rsid w:val="00a24743"/>
    <w:rPr/>
  </w:style>
  <w:style w:type="character" w:styleId="WW8Num4z0" w:customStyle="1">
    <w:name w:val="WW8Num4z0"/>
    <w:qFormat/>
    <w:rsid w:val="00a24743"/>
    <w:rPr/>
  </w:style>
  <w:style w:type="character" w:styleId="WW8Num4z1" w:customStyle="1">
    <w:name w:val="WW8Num4z1"/>
    <w:qFormat/>
    <w:rsid w:val="00a24743"/>
    <w:rPr/>
  </w:style>
  <w:style w:type="character" w:styleId="WW8Num4z2" w:customStyle="1">
    <w:name w:val="WW8Num4z2"/>
    <w:qFormat/>
    <w:rsid w:val="00a24743"/>
    <w:rPr/>
  </w:style>
  <w:style w:type="character" w:styleId="WW8Num4z3" w:customStyle="1">
    <w:name w:val="WW8Num4z3"/>
    <w:qFormat/>
    <w:rsid w:val="00a24743"/>
    <w:rPr/>
  </w:style>
  <w:style w:type="character" w:styleId="WW8Num4z4" w:customStyle="1">
    <w:name w:val="WW8Num4z4"/>
    <w:qFormat/>
    <w:rsid w:val="00a24743"/>
    <w:rPr/>
  </w:style>
  <w:style w:type="character" w:styleId="WW8Num4z5" w:customStyle="1">
    <w:name w:val="WW8Num4z5"/>
    <w:qFormat/>
    <w:rsid w:val="00a24743"/>
    <w:rPr/>
  </w:style>
  <w:style w:type="character" w:styleId="WW8Num4z6" w:customStyle="1">
    <w:name w:val="WW8Num4z6"/>
    <w:qFormat/>
    <w:rsid w:val="00a24743"/>
    <w:rPr/>
  </w:style>
  <w:style w:type="character" w:styleId="WW8Num4z7" w:customStyle="1">
    <w:name w:val="WW8Num4z7"/>
    <w:qFormat/>
    <w:rsid w:val="00a24743"/>
    <w:rPr/>
  </w:style>
  <w:style w:type="character" w:styleId="WW8Num4z8" w:customStyle="1">
    <w:name w:val="WW8Num4z8"/>
    <w:qFormat/>
    <w:rsid w:val="00a24743"/>
    <w:rPr/>
  </w:style>
  <w:style w:type="character" w:styleId="WW8Num5z0" w:customStyle="1">
    <w:name w:val="WW8Num5z0"/>
    <w:qFormat/>
    <w:rsid w:val="00a24743"/>
    <w:rPr/>
  </w:style>
  <w:style w:type="character" w:styleId="WW8Num5z1" w:customStyle="1">
    <w:name w:val="WW8Num5z1"/>
    <w:qFormat/>
    <w:rsid w:val="00a24743"/>
    <w:rPr/>
  </w:style>
  <w:style w:type="character" w:styleId="WW8Num5z2" w:customStyle="1">
    <w:name w:val="WW8Num5z2"/>
    <w:qFormat/>
    <w:rsid w:val="00a24743"/>
    <w:rPr/>
  </w:style>
  <w:style w:type="character" w:styleId="WW8Num5z3" w:customStyle="1">
    <w:name w:val="WW8Num5z3"/>
    <w:qFormat/>
    <w:rsid w:val="00a24743"/>
    <w:rPr/>
  </w:style>
  <w:style w:type="character" w:styleId="WW8Num5z4" w:customStyle="1">
    <w:name w:val="WW8Num5z4"/>
    <w:qFormat/>
    <w:rsid w:val="00a24743"/>
    <w:rPr/>
  </w:style>
  <w:style w:type="character" w:styleId="WW8Num5z5" w:customStyle="1">
    <w:name w:val="WW8Num5z5"/>
    <w:qFormat/>
    <w:rsid w:val="00a24743"/>
    <w:rPr/>
  </w:style>
  <w:style w:type="character" w:styleId="WW8Num5z6" w:customStyle="1">
    <w:name w:val="WW8Num5z6"/>
    <w:qFormat/>
    <w:rsid w:val="00a24743"/>
    <w:rPr/>
  </w:style>
  <w:style w:type="character" w:styleId="WW8Num5z7" w:customStyle="1">
    <w:name w:val="WW8Num5z7"/>
    <w:qFormat/>
    <w:rsid w:val="00a24743"/>
    <w:rPr/>
  </w:style>
  <w:style w:type="character" w:styleId="WW8Num5z8" w:customStyle="1">
    <w:name w:val="WW8Num5z8"/>
    <w:qFormat/>
    <w:rsid w:val="00a24743"/>
    <w:rPr/>
  </w:style>
  <w:style w:type="character" w:styleId="2" w:customStyle="1">
    <w:name w:val="Основной шрифт абзаца2"/>
    <w:qFormat/>
    <w:rsid w:val="00a24743"/>
    <w:rPr/>
  </w:style>
  <w:style w:type="character" w:styleId="12" w:customStyle="1">
    <w:name w:val="Основной шрифт абзаца1"/>
    <w:qFormat/>
    <w:rsid w:val="00a24743"/>
    <w:rPr/>
  </w:style>
  <w:style w:type="character" w:styleId="3" w:customStyle="1">
    <w:name w:val="Основной текст 3 Знак"/>
    <w:qFormat/>
    <w:rsid w:val="00a24743"/>
    <w:rPr>
      <w:rFonts w:ascii="Times New Roman" w:hAnsi="Times New Roman" w:eastAsia="Times New Roman" w:cs="Times New Roman"/>
      <w:color w:val="000000"/>
      <w:sz w:val="24"/>
      <w:szCs w:val="28"/>
      <w:shd w:fill="FFFFFF" w:val="clear"/>
    </w:rPr>
  </w:style>
  <w:style w:type="character" w:styleId="Style19" w:customStyle="1">
    <w:name w:val="Название Знак"/>
    <w:qFormat/>
    <w:rsid w:val="00a24743"/>
    <w:rPr>
      <w:rFonts w:ascii="Times New Roman CYR" w:hAnsi="Times New Roman CYR" w:eastAsia="Times New Roman" w:cs="Times New Roman CYR"/>
      <w:b/>
      <w:bCs/>
      <w:sz w:val="28"/>
      <w:szCs w:val="28"/>
    </w:rPr>
  </w:style>
  <w:style w:type="character" w:styleId="21" w:customStyle="1">
    <w:name w:val="Основной текст с отступом 2 Знак"/>
    <w:qFormat/>
    <w:rsid w:val="00a24743"/>
    <w:rPr>
      <w:rFonts w:ascii="Times New Roman" w:hAnsi="Times New Roman" w:eastAsia="Times New Roman" w:cs="Times New Roman"/>
      <w:sz w:val="20"/>
      <w:szCs w:val="20"/>
    </w:rPr>
  </w:style>
  <w:style w:type="character" w:styleId="Style20" w:customStyle="1">
    <w:name w:val="Символ нумерации"/>
    <w:qFormat/>
    <w:rsid w:val="00a24743"/>
    <w:rPr/>
  </w:style>
  <w:style w:type="character" w:styleId="13" w:customStyle="1">
    <w:name w:val="Основной текст Знак1"/>
    <w:basedOn w:val="DefaultParagraphFont"/>
    <w:link w:val="ad"/>
    <w:semiHidden/>
    <w:qFormat/>
    <w:locked/>
    <w:rsid w:val="00a24743"/>
    <w:rPr>
      <w:rFonts w:ascii="Times New Roman" w:hAnsi="Times New Roman" w:eastAsia="Times New Roman" w:cs="Times New Roman"/>
      <w:sz w:val="28"/>
      <w:szCs w:val="28"/>
      <w:lang w:val="x-none" w:eastAsia="zh-CN"/>
    </w:rPr>
  </w:style>
  <w:style w:type="character" w:styleId="14" w:customStyle="1">
    <w:name w:val="Верхний колонтитул Знак1"/>
    <w:basedOn w:val="DefaultParagraphFont"/>
    <w:link w:val="a6"/>
    <w:semiHidden/>
    <w:qFormat/>
    <w:locked/>
    <w:rsid w:val="00a24743"/>
    <w:rPr>
      <w:rFonts w:ascii="Times New Roman" w:hAnsi="Times New Roman" w:eastAsia="Times New Roman" w:cs="Times New Roman"/>
      <w:sz w:val="28"/>
      <w:szCs w:val="28"/>
      <w:lang w:val="x-none" w:eastAsia="zh-CN"/>
    </w:rPr>
  </w:style>
  <w:style w:type="character" w:styleId="15" w:customStyle="1">
    <w:name w:val="Нижний колонтитул Знак1"/>
    <w:basedOn w:val="DefaultParagraphFont"/>
    <w:link w:val="a8"/>
    <w:semiHidden/>
    <w:qFormat/>
    <w:locked/>
    <w:rsid w:val="00a24743"/>
    <w:rPr>
      <w:rFonts w:ascii="Times New Roman" w:hAnsi="Times New Roman" w:eastAsia="Times New Roman" w:cs="Times New Roman"/>
      <w:sz w:val="28"/>
      <w:szCs w:val="28"/>
      <w:lang w:val="x-none" w:eastAsia="zh-CN"/>
    </w:rPr>
  </w:style>
  <w:style w:type="character" w:styleId="16" w:customStyle="1">
    <w:name w:val="Текст выноски Знак1"/>
    <w:basedOn w:val="DefaultParagraphFont"/>
    <w:semiHidden/>
    <w:qFormat/>
    <w:locked/>
    <w:rsid w:val="00a24743"/>
    <w:rPr>
      <w:rFonts w:ascii="Tahoma" w:hAnsi="Tahoma" w:eastAsia="Times New Roman" w:cs="Tahoma"/>
      <w:sz w:val="16"/>
      <w:szCs w:val="16"/>
      <w:lang w:val="x-none" w:eastAsia="zh-CN"/>
    </w:rPr>
  </w:style>
  <w:style w:type="paragraph" w:styleId="Style21" w:customStyle="1">
    <w:name w:val="Заголовок"/>
    <w:basedOn w:val="Normal"/>
    <w:next w:val="Style22"/>
    <w:qFormat/>
    <w:rsid w:val="00a24743"/>
    <w:pPr>
      <w:keepNext w:val="true"/>
      <w:suppressAutoHyphens w:val="true"/>
      <w:spacing w:lineRule="auto" w:line="240"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styleId="Style22">
    <w:name w:val="Body Text"/>
    <w:basedOn w:val="Normal"/>
    <w:link w:val="14"/>
    <w:semiHidden/>
    <w:unhideWhenUsed/>
    <w:rsid w:val="00a24743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8"/>
      <w:szCs w:val="28"/>
      <w:lang w:val="x-none" w:eastAsia="zh-CN"/>
    </w:rPr>
  </w:style>
  <w:style w:type="paragraph" w:styleId="Style23">
    <w:name w:val="List"/>
    <w:basedOn w:val="Style22"/>
    <w:semiHidden/>
    <w:unhideWhenUsed/>
    <w:rsid w:val="00a24743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semiHidden/>
    <w:unhideWhenUsed/>
    <w:qFormat/>
    <w:rsid w:val="00761f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12"/>
    <w:semiHidden/>
    <w:unhideWhenUsed/>
    <w:rsid w:val="00a24743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val="x-none" w:eastAsia="zh-CN"/>
    </w:rPr>
  </w:style>
  <w:style w:type="paragraph" w:styleId="Style28">
    <w:name w:val="Footer"/>
    <w:basedOn w:val="Normal"/>
    <w:link w:val="13"/>
    <w:semiHidden/>
    <w:unhideWhenUsed/>
    <w:rsid w:val="00a24743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val="x-none" w:eastAsia="zh-CN"/>
    </w:rPr>
  </w:style>
  <w:style w:type="paragraph" w:styleId="Style29">
    <w:name w:val="Subtitle"/>
    <w:basedOn w:val="Normal"/>
    <w:next w:val="Normal"/>
    <w:link w:val="ab"/>
    <w:qFormat/>
    <w:rsid w:val="00a24743"/>
    <w:pPr>
      <w:suppressAutoHyphens w:val="true"/>
      <w:spacing w:lineRule="auto" w:line="240" w:before="0" w:after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zh-CN"/>
    </w:rPr>
  </w:style>
  <w:style w:type="paragraph" w:styleId="Caption">
    <w:name w:val="caption"/>
    <w:basedOn w:val="Normal"/>
    <w:next w:val="Style29"/>
    <w:semiHidden/>
    <w:unhideWhenUsed/>
    <w:qFormat/>
    <w:rsid w:val="00a24743"/>
    <w:pPr>
      <w:widowControl w:val="false"/>
      <w:suppressAutoHyphens w:val="true"/>
      <w:spacing w:lineRule="auto" w:line="240" w:before="0" w:after="0"/>
      <w:ind w:right="-801" w:hanging="0"/>
      <w:jc w:val="center"/>
    </w:pPr>
    <w:rPr>
      <w:rFonts w:ascii="Times New Roman CYR" w:hAnsi="Times New Roman CYR" w:eastAsia="Times New Roman" w:cs="Times New Roman CYR"/>
      <w:b/>
      <w:bCs/>
      <w:sz w:val="28"/>
      <w:szCs w:val="28"/>
      <w:lang w:val="x-none" w:eastAsia="zh-CN"/>
    </w:rPr>
  </w:style>
  <w:style w:type="paragraph" w:styleId="ListParagraph">
    <w:name w:val="List Paragraph"/>
    <w:basedOn w:val="Normal"/>
    <w:qFormat/>
    <w:rsid w:val="00a24743"/>
    <w:pPr>
      <w:suppressAutoHyphens w:val="true"/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8"/>
      <w:szCs w:val="28"/>
      <w:lang w:eastAsia="zh-CN"/>
    </w:rPr>
  </w:style>
  <w:style w:type="paragraph" w:styleId="22" w:customStyle="1">
    <w:name w:val="Указатель2"/>
    <w:basedOn w:val="Normal"/>
    <w:qFormat/>
    <w:rsid w:val="00a24743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sz w:val="28"/>
      <w:szCs w:val="28"/>
      <w:lang w:eastAsia="zh-CN"/>
    </w:rPr>
  </w:style>
  <w:style w:type="paragraph" w:styleId="17" w:customStyle="1">
    <w:name w:val="Название1"/>
    <w:basedOn w:val="Normal"/>
    <w:qFormat/>
    <w:rsid w:val="00a24743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sz w:val="24"/>
      <w:szCs w:val="24"/>
      <w:lang w:eastAsia="zh-CN"/>
    </w:rPr>
  </w:style>
  <w:style w:type="paragraph" w:styleId="18" w:customStyle="1">
    <w:name w:val="Указатель1"/>
    <w:basedOn w:val="Normal"/>
    <w:qFormat/>
    <w:rsid w:val="00a24743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sz w:val="28"/>
      <w:szCs w:val="28"/>
      <w:lang w:eastAsia="zh-CN"/>
    </w:rPr>
  </w:style>
  <w:style w:type="paragraph" w:styleId="31" w:customStyle="1">
    <w:name w:val="Основной текст 31"/>
    <w:basedOn w:val="Normal"/>
    <w:qFormat/>
    <w:rsid w:val="00a24743"/>
    <w:pPr>
      <w:shd w:val="clear" w:color="auto" w:fill="FFFFFF"/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0"/>
      <w:sz w:val="24"/>
      <w:szCs w:val="28"/>
      <w:lang w:val="x-none" w:eastAsia="zh-CN"/>
    </w:rPr>
  </w:style>
  <w:style w:type="paragraph" w:styleId="23" w:customStyle="1">
    <w:name w:val="Знак Знак2"/>
    <w:basedOn w:val="Normal"/>
    <w:qFormat/>
    <w:rsid w:val="00a24743"/>
    <w:pPr>
      <w:widowControl w:val="false"/>
      <w:suppressAutoHyphens w:val="tru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 w:eastAsia="zh-CN"/>
    </w:rPr>
  </w:style>
  <w:style w:type="paragraph" w:styleId="10" w:customStyle="1">
    <w:name w:val="Стиль Абзац списка + по ширине Слева:  1 см После:  0 пт Междуст..."/>
    <w:basedOn w:val="Normal"/>
    <w:qFormat/>
    <w:rsid w:val="00a24743"/>
    <w:pPr>
      <w:suppressAutoHyphens w:val="true"/>
      <w:spacing w:lineRule="atLeast" w:line="100" w:before="0" w:after="0"/>
      <w:ind w:left="568" w:hanging="0"/>
      <w:jc w:val="both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19" w:customStyle="1">
    <w:name w:val="Знак1"/>
    <w:basedOn w:val="Normal"/>
    <w:qFormat/>
    <w:rsid w:val="00a24743"/>
    <w:pPr>
      <w:widowControl w:val="false"/>
      <w:suppressAutoHyphens w:val="tru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 w:eastAsia="zh-CN"/>
    </w:rPr>
  </w:style>
  <w:style w:type="paragraph" w:styleId="Style30" w:customStyle="1">
    <w:name w:val="Знак"/>
    <w:basedOn w:val="Normal"/>
    <w:qFormat/>
    <w:rsid w:val="00a24743"/>
    <w:pPr>
      <w:widowControl w:val="false"/>
      <w:suppressAutoHyphens w:val="tru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 w:eastAsia="zh-CN"/>
    </w:rPr>
  </w:style>
  <w:style w:type="paragraph" w:styleId="24" w:customStyle="1">
    <w:name w:val="Знак Знак2 Знак Знак Знак"/>
    <w:basedOn w:val="Normal"/>
    <w:qFormat/>
    <w:rsid w:val="00a24743"/>
    <w:pPr>
      <w:widowControl w:val="false"/>
      <w:suppressAutoHyphens w:val="tru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 w:eastAsia="zh-CN"/>
    </w:rPr>
  </w:style>
  <w:style w:type="paragraph" w:styleId="25" w:customStyle="1">
    <w:name w:val="Знак Знак2 Знак Знак Знак Знак"/>
    <w:basedOn w:val="Normal"/>
    <w:qFormat/>
    <w:rsid w:val="00a24743"/>
    <w:pPr>
      <w:widowControl w:val="false"/>
      <w:suppressAutoHyphens w:val="tru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 w:eastAsia="zh-CN"/>
    </w:rPr>
  </w:style>
  <w:style w:type="paragraph" w:styleId="211" w:customStyle="1">
    <w:name w:val="Основной текст с отступом 21"/>
    <w:basedOn w:val="Normal"/>
    <w:qFormat/>
    <w:rsid w:val="00a24743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val="x-none" w:eastAsia="zh-CN"/>
    </w:rPr>
  </w:style>
  <w:style w:type="paragraph" w:styleId="ConsPlusNormal" w:customStyle="1">
    <w:name w:val="ConsPlusNormal"/>
    <w:qFormat/>
    <w:rsid w:val="00a2474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Style31" w:customStyle="1">
    <w:name w:val="Содержимое таблицы"/>
    <w:basedOn w:val="Normal"/>
    <w:qFormat/>
    <w:rsid w:val="00a24743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zh-CN"/>
    </w:rPr>
  </w:style>
  <w:style w:type="paragraph" w:styleId="Style32" w:customStyle="1">
    <w:name w:val="Заголовок таблицы"/>
    <w:basedOn w:val="Style31"/>
    <w:qFormat/>
    <w:rsid w:val="00a24743"/>
    <w:pPr>
      <w:jc w:val="center"/>
    </w:pPr>
    <w:rPr>
      <w:b/>
      <w:bCs/>
    </w:rPr>
  </w:style>
  <w:style w:type="paragraph" w:styleId="Style33" w:customStyle="1">
    <w:name w:val="Содержимое врезки"/>
    <w:basedOn w:val="Style22"/>
    <w:qFormat/>
    <w:rsid w:val="00a24743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10" w:customStyle="1">
    <w:name w:val="Нет списка1"/>
    <w:uiPriority w:val="99"/>
    <w:semiHidden/>
    <w:unhideWhenUsed/>
    <w:qFormat/>
    <w:rsid w:val="00a2474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LibreOffice/6.3.1.2$Windows_X86_64 LibreOffice_project/b79626edf0065ac373bd1df5c28bd630b4424273</Application>
  <Pages>7</Pages>
  <Words>1964</Words>
  <Characters>10221</Characters>
  <CharactersWithSpaces>12144</CharactersWithSpaces>
  <Paragraphs>787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2019-09-05T09:28:00Z</dcterms:created>
  <dc:creator>бух</dc:creator>
  <dc:description/>
  <dc:language>ru-RU</dc:language>
  <cp:lastModifiedBy/>
  <cp:lastPrinted>2019-07-29T04:46:00Z</cp:lastPrinted>
  <dcterms:modified xsi:type="dcterms:W3CDTF">2019-10-10T22:41:00Z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