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 – ЧЕРКЕССКАЯ  РЕСПУБЛИКА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УРУПСКИЙ МУНИЦИПАЛЬНЫЙ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ПРЕДГОРНЕНСКОГО СЕЛЬСКОГО ПОСЕЛЕНИЯ</w:t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29.12.2021                                с. Предгорное                     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Об утверждении Перечня главных администраторов доходов бюджета Предгорненского сельского поселения </w:t>
      </w:r>
      <w:r>
        <w:rPr>
          <w:sz w:val="28"/>
          <w:szCs w:val="28"/>
        </w:rPr>
        <w:t xml:space="preserve">и Перечня главных администраторов источников финансирования дефицита </w:t>
      </w: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бюджета Предгорненского сельского поселения. </w:t>
      </w:r>
    </w:p>
    <w:p>
      <w:pPr>
        <w:pStyle w:val="Normal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Во исполнение статей 160.1 и 160.2 Бюджетного кодекса Российской Федерации  Предгорненское сельское поселение</w:t>
      </w:r>
    </w:p>
    <w:p>
      <w:pPr>
        <w:pStyle w:val="Normal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ПОСТАНОВЛЯЕТ:</w:t>
      </w:r>
    </w:p>
    <w:p>
      <w:pPr>
        <w:pStyle w:val="Normal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1. Утвердить Перечень главных администраторов доходов бюджета Предгорненского сельского поселения согласно приложению 1.</w:t>
      </w:r>
    </w:p>
    <w:p>
      <w:pPr>
        <w:pStyle w:val="Normal"/>
        <w:jc w:val="both"/>
        <w:rPr/>
      </w:pPr>
      <w:r>
        <w:rPr>
          <w:rFonts w:eastAsia="Calibri" w:cs="" w:cstheme="minorBidi" w:eastAsiaTheme="minorHAnsi"/>
          <w:sz w:val="28"/>
          <w:szCs w:val="28"/>
          <w:lang w:eastAsia="en-US"/>
        </w:rPr>
        <w:t>2. Утвердить Перечень главных администраторов источников финансирования дефицита бюджета Предгорненского сельского поселения согласно приложению.</w:t>
      </w:r>
    </w:p>
    <w:p>
      <w:pPr>
        <w:pStyle w:val="Normal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3. Установить, что в случае изменения состава и (или) функций главных администраторов доходов бюджета Предгорненского сельского поселения или главных администраторов источников финансирования дефицита бюджета Предгорненского сельского поселения, а также изменения принципов назначения и присвоения структуры кодов классификации доходов республиканского бюджета изменения в Перечень главных администраторов доходов бюджета Предгорненского сельского поселения и Перечень главных администраторов источников финансирования дефицита бюджета Предгорненского сельского поселения, а также в состав закрепленных за ними кодов классификации доходов вносятся в бюджет Предгорненского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4. Настоящее постановление применяется к правоотношениям, возникающим при составлении и исполнении бюджета Предгорненского сельского поселения,  на 2022 год и на плановый период 2023 и 2024 годов.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 настоящего постановления возложить на главного специалиста-главного бухгалтера Предгорненского сельского поселения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08" w:type="dxa"/>
        <w:jc w:val="left"/>
        <w:tblInd w:w="50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35"/>
        <w:gridCol w:w="2953"/>
        <w:gridCol w:w="2320"/>
      </w:tblGrid>
      <w:tr>
        <w:trPr/>
        <w:tc>
          <w:tcPr>
            <w:tcW w:w="4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sz w:val="28"/>
                <w:szCs w:val="28"/>
              </w:rPr>
              <w:t>Глава администрации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Предгорненского сельского поселения</w:t>
            </w:r>
          </w:p>
        </w:tc>
        <w:tc>
          <w:tcPr>
            <w:tcW w:w="29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3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К. Х. Гаджаев</w:t>
            </w:r>
          </w:p>
        </w:tc>
      </w:tr>
    </w:tbl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</w:t>
      </w:r>
    </w:p>
    <w:p>
      <w:pPr>
        <w:pStyle w:val="Normal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Приложение 1 </w:t>
      </w:r>
    </w:p>
    <w:p>
      <w:pPr>
        <w:pStyle w:val="Normal"/>
        <w:jc w:val="right"/>
        <w:rPr/>
      </w:pPr>
      <w:r>
        <w:rPr>
          <w:rFonts w:eastAsia="Times New Roman" w:cs="Times New Roman"/>
          <w:sz w:val="28"/>
          <w:szCs w:val="28"/>
          <w:lang w:eastAsia="ru-RU"/>
        </w:rPr>
        <w:t>к постановлению</w:t>
      </w:r>
    </w:p>
    <w:p>
      <w:pPr>
        <w:pStyle w:val="Normal"/>
        <w:jc w:val="right"/>
        <w:rPr/>
      </w:pPr>
      <w:r>
        <w:rPr>
          <w:rFonts w:eastAsia="Times New Roman" w:cs="Times New Roman"/>
          <w:sz w:val="28"/>
          <w:szCs w:val="28"/>
          <w:lang w:eastAsia="ru-RU"/>
        </w:rPr>
        <w:t>от 29.12.2021 №75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Предгорненского сельского поселения на 2022 год и плановый период 2023-2024 годы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0085" w:type="dxa"/>
        <w:jc w:val="left"/>
        <w:tblInd w:w="83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7"/>
        <w:gridCol w:w="2598"/>
        <w:gridCol w:w="1"/>
        <w:gridCol w:w="5109"/>
      </w:tblGrid>
      <w:tr>
        <w:trPr>
          <w:trHeight w:val="315" w:hRule="atLeast"/>
        </w:trPr>
        <w:tc>
          <w:tcPr>
            <w:tcW w:w="4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сельского поселения, </w:t>
              <w:br/>
              <w:t>наименование кода вида (подвида) доходов сельского поселения</w:t>
            </w:r>
          </w:p>
        </w:tc>
      </w:tr>
      <w:tr>
        <w:trPr>
          <w:trHeight w:val="1260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код главного администратора доходов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код вида (подвида) доходов сельского поселения</w:t>
            </w:r>
          </w:p>
        </w:tc>
        <w:tc>
          <w:tcPr>
            <w:tcW w:w="5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Карачаево-Черкесской Республике</w:t>
            </w:r>
          </w:p>
        </w:tc>
      </w:tr>
      <w:tr>
        <w:trPr>
          <w:trHeight w:val="94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Налог на доходы физлиц (НДФЛ).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</w:tr>
      <w:tr>
        <w:trPr>
          <w:trHeight w:val="157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983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630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>
        <w:trPr>
          <w:trHeight w:val="31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>
        <w:trPr>
          <w:trHeight w:val="31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1 05 030200 10 000 </w:t>
            </w:r>
            <w:bookmarkStart w:id="1" w:name="_GoBack1"/>
            <w:bookmarkEnd w:id="1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>
        <w:trPr>
          <w:trHeight w:val="31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rPr>
          <w:trHeight w:val="31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>
          <w:trHeight w:val="31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>
          <w:trHeight w:val="750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Предгорненского сельского поселения</w:t>
            </w:r>
          </w:p>
        </w:tc>
      </w:tr>
      <w:tr>
        <w:trPr>
          <w:trHeight w:val="31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1 08 04020 011000 110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</w:tr>
      <w:tr>
        <w:trPr>
          <w:trHeight w:val="94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учреждений)учреждениями, унитарными предприятиями субъекта Российской Федерации)</w:t>
            </w:r>
          </w:p>
        </w:tc>
      </w:tr>
      <w:tr>
        <w:trPr>
          <w:trHeight w:val="945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>
        <w:trPr>
          <w:trHeight w:val="273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Доходы, поступающие в порядке возмеще ния расходов, понесенных в связи с эксплуатацией имущества сельских поселений</w:t>
            </w:r>
          </w:p>
        </w:tc>
      </w:tr>
      <w:tr>
        <w:trPr>
          <w:trHeight w:val="1320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>
        <w:trPr>
          <w:trHeight w:val="44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>
        <w:trPr>
          <w:trHeight w:val="808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117 16000 10 0000 180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>
        <w:trPr>
          <w:trHeight w:val="969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2 02 01003 10 0000 150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45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20219999100000 150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Прочие дотации бюджетам сельских поселений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202 35118 10 0000 150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202 35930 10 0000 150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202 04029 10 0000 150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202 04999 10 0000 150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202 09024 10 0000 150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поселений от субъектов  бюджетов Российской Федерации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202 02051 10 0000 150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202 02077 10 0000 150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208 05000 10 0000 180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Перечисление из бюджетов поселений (в бюджеты поселений) для осуществления возврата (зачета) излишне уплаченных,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557" w:hRule="atLeast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219 05000 10 0000 150</w:t>
            </w:r>
          </w:p>
        </w:tc>
        <w:tc>
          <w:tcPr>
            <w:tcW w:w="5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бюджета поселения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W w:w="9808" w:type="dxa"/>
        <w:jc w:val="left"/>
        <w:tblInd w:w="50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4281"/>
        <w:gridCol w:w="2257"/>
        <w:gridCol w:w="3270"/>
      </w:tblGrid>
      <w:tr>
        <w:trPr/>
        <w:tc>
          <w:tcPr>
            <w:tcW w:w="42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главы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Предгорненского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М. С. Биджиева</w:t>
            </w:r>
          </w:p>
        </w:tc>
      </w:tr>
      <w:tr>
        <w:trPr/>
        <w:tc>
          <w:tcPr>
            <w:tcW w:w="42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Главный специалист-главный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бухгалтер Предгорненского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А. С. Проскурякова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rFonts w:eastAsia="Times New Roman" w:cs="Times New Roman"/>
          <w:sz w:val="28"/>
          <w:szCs w:val="28"/>
          <w:lang w:eastAsia="ru-RU"/>
        </w:rPr>
        <w:t>Приложение 2</w:t>
      </w:r>
    </w:p>
    <w:p>
      <w:pPr>
        <w:pStyle w:val="Normal"/>
        <w:jc w:val="right"/>
        <w:rPr/>
      </w:pPr>
      <w:r>
        <w:rPr>
          <w:rFonts w:eastAsia="Times New Roman" w:cs="Times New Roman"/>
          <w:sz w:val="28"/>
          <w:szCs w:val="28"/>
          <w:lang w:eastAsia="ru-RU"/>
        </w:rPr>
        <w:t>к постановлению</w:t>
      </w:r>
    </w:p>
    <w:p>
      <w:pPr>
        <w:pStyle w:val="Normal"/>
        <w:jc w:val="right"/>
        <w:rPr/>
      </w:pPr>
      <w:r>
        <w:rPr>
          <w:rFonts w:eastAsia="Times New Roman" w:cs="Times New Roman"/>
          <w:sz w:val="28"/>
          <w:szCs w:val="28"/>
          <w:lang w:eastAsia="ru-RU"/>
        </w:rPr>
        <w:t>от 29.12.2021 №75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Перечень главных администраторов источников финансирования дефицита бюджета Администрации Предгорненского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0080" w:type="dxa"/>
        <w:jc w:val="left"/>
        <w:tblInd w:w="83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2"/>
        <w:gridCol w:w="2972"/>
        <w:gridCol w:w="2"/>
        <w:gridCol w:w="4964"/>
      </w:tblGrid>
      <w:tr>
        <w:trPr>
          <w:trHeight w:val="435" w:hRule="atLeast"/>
        </w:trPr>
        <w:tc>
          <w:tcPr>
            <w:tcW w:w="5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источников финансирования дефицита, </w:t>
              <w:br/>
              <w:t>наименование кода вида (подвида) источников финансирования дефицита</w:t>
            </w:r>
          </w:p>
        </w:tc>
      </w:tr>
      <w:tr>
        <w:trPr>
          <w:trHeight w:val="583" w:hRule="atLeast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код вида (подвида) источников финансирования дефицита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939" w:hRule="atLeast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Предгорненского сельского поселения</w:t>
            </w:r>
          </w:p>
        </w:tc>
      </w:tr>
      <w:tr>
        <w:trPr>
          <w:trHeight w:val="262" w:hRule="atLeast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0 10 50201 10 0000 510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>
        <w:trPr>
          <w:trHeight w:val="242" w:hRule="atLeast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0 10 50201 10 0000 610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  <w:bookmarkStart w:id="2" w:name="_GoBack2"/>
      <w:bookmarkStart w:id="3" w:name="_GoBack2"/>
      <w:bookmarkEnd w:id="3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W w:w="9808" w:type="dxa"/>
        <w:jc w:val="left"/>
        <w:tblInd w:w="50" w:type="dxa"/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35"/>
        <w:gridCol w:w="2003"/>
        <w:gridCol w:w="3270"/>
      </w:tblGrid>
      <w:tr>
        <w:trPr/>
        <w:tc>
          <w:tcPr>
            <w:tcW w:w="4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главы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Предгорненского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М. С. Биджиева</w:t>
            </w:r>
          </w:p>
        </w:tc>
      </w:tr>
      <w:tr>
        <w:trPr/>
        <w:tc>
          <w:tcPr>
            <w:tcW w:w="4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Главный специалист-главный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бухгалтер Предгорненского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0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2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А. С. Проскурякова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680" w:header="0" w:top="1134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2b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0328ed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0328ed"/>
    <w:rPr>
      <w:color w:val="800080"/>
      <w:u w:val="single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28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28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Xl65" w:customStyle="1">
    <w:name w:val="xl65"/>
    <w:basedOn w:val="Normal"/>
    <w:qFormat/>
    <w:rsid w:val="000328e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67" w:customStyle="1">
    <w:name w:val="xl67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68" w:customStyle="1">
    <w:name w:val="xl68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69" w:customStyle="1">
    <w:name w:val="xl69"/>
    <w:basedOn w:val="Normal"/>
    <w:qFormat/>
    <w:rsid w:val="000328ed"/>
    <w:pPr>
      <w:pBdr>
        <w:top w:val="single" w:sz="4" w:space="0" w:color="00000A"/>
        <w:left w:val="single" w:sz="4" w:space="0" w:color="00000A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0328ed"/>
    <w:pPr>
      <w:pBdr>
        <w:top w:val="single" w:sz="4" w:space="0" w:color="00000A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0328ed"/>
    <w:pPr>
      <w:pBdr>
        <w:top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0328ed"/>
    <w:pPr>
      <w:pBdr>
        <w:left w:val="single" w:sz="4" w:space="0" w:color="00000A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0328ed"/>
    <w:pPr>
      <w:pBdr>
        <w:right w:val="single" w:sz="4" w:space="0" w:color="00000A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0328ed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0328ed"/>
    <w:pPr>
      <w:pBdr>
        <w:bottom w:val="single" w:sz="4" w:space="0" w:color="00000A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0328ed"/>
    <w:pPr>
      <w:pBdr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78" w:customStyle="1">
    <w:name w:val="xl78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0" w:customStyle="1">
    <w:name w:val="xl80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1" w:customStyle="1">
    <w:name w:val="xl81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86" w:customStyle="1">
    <w:name w:val="xl86"/>
    <w:basedOn w:val="Normal"/>
    <w:qFormat/>
    <w:rsid w:val="000328ed"/>
    <w:pPr>
      <w:spacing w:beforeAutospacing="1" w:afterAutospacing="1"/>
    </w:pPr>
    <w:rPr>
      <w:sz w:val="32"/>
      <w:szCs w:val="32"/>
    </w:rPr>
  </w:style>
  <w:style w:type="paragraph" w:styleId="Xl87" w:customStyle="1">
    <w:name w:val="xl87"/>
    <w:basedOn w:val="Normal"/>
    <w:qFormat/>
    <w:rsid w:val="000328ed"/>
    <w:pPr>
      <w:pBdr>
        <w:top w:val="single" w:sz="4" w:space="0" w:color="00000A"/>
        <w:left w:val="single" w:sz="4" w:space="0" w:color="00000A"/>
      </w:pBdr>
      <w:spacing w:beforeAutospacing="1" w:afterAutospacing="1"/>
      <w:jc w:val="center"/>
    </w:pPr>
    <w:rPr/>
  </w:style>
  <w:style w:type="paragraph" w:styleId="Xl88" w:customStyle="1">
    <w:name w:val="xl88"/>
    <w:basedOn w:val="Normal"/>
    <w:qFormat/>
    <w:rsid w:val="000328ed"/>
    <w:pPr>
      <w:pBdr>
        <w:left w:val="single" w:sz="4" w:space="0" w:color="00000A"/>
      </w:pBdr>
      <w:spacing w:beforeAutospacing="1" w:afterAutospacing="1"/>
      <w:jc w:val="center"/>
    </w:pPr>
    <w:rPr/>
  </w:style>
  <w:style w:type="paragraph" w:styleId="Xl89" w:customStyle="1">
    <w:name w:val="xl89"/>
    <w:basedOn w:val="Normal"/>
    <w:qFormat/>
    <w:rsid w:val="000328ed"/>
    <w:pPr>
      <w:pBdr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/>
  </w:style>
  <w:style w:type="paragraph" w:styleId="Xl90" w:customStyle="1">
    <w:name w:val="xl90"/>
    <w:basedOn w:val="Normal"/>
    <w:qFormat/>
    <w:rsid w:val="000328ed"/>
    <w:pPr>
      <w:spacing w:beforeAutospacing="1" w:afterAutospacing="1"/>
      <w:jc w:val="center"/>
    </w:pPr>
    <w:rPr/>
  </w:style>
  <w:style w:type="paragraph" w:styleId="Xl91" w:customStyle="1">
    <w:name w:val="xl91"/>
    <w:basedOn w:val="Normal"/>
    <w:qFormat/>
    <w:rsid w:val="000328ed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styleId="Xl92" w:customStyle="1">
    <w:name w:val="xl92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93" w:customStyle="1">
    <w:name w:val="xl93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94" w:customStyle="1">
    <w:name w:val="xl94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styleId="Xl95" w:customStyle="1">
    <w:name w:val="xl95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96" w:customStyle="1">
    <w:name w:val="xl96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97" w:customStyle="1">
    <w:name w:val="xl97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center"/>
    </w:pPr>
    <w:rPr/>
  </w:style>
  <w:style w:type="paragraph" w:styleId="Xl98" w:customStyle="1">
    <w:name w:val="xl98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1" w:customStyle="1">
    <w:name w:val="xl101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2" w:customStyle="1">
    <w:name w:val="xl102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3" w:customStyle="1">
    <w:name w:val="xl103"/>
    <w:basedOn w:val="Normal"/>
    <w:qFormat/>
    <w:rsid w:val="000328ed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4" w:customStyle="1">
    <w:name w:val="xl104"/>
    <w:basedOn w:val="Normal"/>
    <w:qFormat/>
    <w:rsid w:val="000328ed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5" w:customStyle="1">
    <w:name w:val="xl105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06" w:customStyle="1">
    <w:name w:val="xl106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107" w:customStyle="1">
    <w:name w:val="xl107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108" w:customStyle="1">
    <w:name w:val="xl108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/>
  </w:style>
  <w:style w:type="paragraph" w:styleId="Xl111" w:customStyle="1">
    <w:name w:val="xl111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</w:pPr>
    <w:rPr/>
  </w:style>
  <w:style w:type="paragraph" w:styleId="Xl112" w:customStyle="1">
    <w:name w:val="xl112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13" w:customStyle="1">
    <w:name w:val="xl113"/>
    <w:basedOn w:val="Normal"/>
    <w:qFormat/>
    <w:rsid w:val="000328ed"/>
    <w:pPr>
      <w:pBdr>
        <w:top w:val="single" w:sz="4" w:space="0" w:color="00000A"/>
      </w:pBdr>
      <w:spacing w:beforeAutospacing="1" w:afterAutospacing="1"/>
      <w:jc w:val="center"/>
    </w:pPr>
    <w:rPr/>
  </w:style>
  <w:style w:type="paragraph" w:styleId="Xl114" w:customStyle="1">
    <w:name w:val="xl114"/>
    <w:basedOn w:val="Normal"/>
    <w:qFormat/>
    <w:rsid w:val="000328ed"/>
    <w:pPr>
      <w:spacing w:beforeAutospacing="1" w:afterAutospacing="1"/>
      <w:jc w:val="center"/>
    </w:pPr>
    <w:rPr/>
  </w:style>
  <w:style w:type="paragraph" w:styleId="Xl115" w:customStyle="1">
    <w:name w:val="xl115"/>
    <w:basedOn w:val="Normal"/>
    <w:qFormat/>
    <w:rsid w:val="000328ed"/>
    <w:pPr>
      <w:pBdr>
        <w:right w:val="single" w:sz="4" w:space="0" w:color="00000A"/>
      </w:pBdr>
      <w:spacing w:beforeAutospacing="1" w:afterAutospacing="1"/>
      <w:jc w:val="center"/>
    </w:pPr>
    <w:rPr/>
  </w:style>
  <w:style w:type="paragraph" w:styleId="Xl116" w:customStyle="1">
    <w:name w:val="xl116"/>
    <w:basedOn w:val="Normal"/>
    <w:qFormat/>
    <w:rsid w:val="000328ed"/>
    <w:pPr>
      <w:pBdr>
        <w:bottom w:val="single" w:sz="4" w:space="0" w:color="00000A"/>
      </w:pBdr>
      <w:spacing w:beforeAutospacing="1" w:afterAutospacing="1"/>
      <w:jc w:val="center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0328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0328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LibreOffice/7.1.2.2$Windows_X86_64 LibreOffice_project/8a45595d069ef5570103caea1b71cc9d82b2aae4</Application>
  <AppVersion>15.0000</AppVersion>
  <DocSecurity>0</DocSecurity>
  <Pages>6</Pages>
  <Words>1057</Words>
  <Characters>7328</Characters>
  <CharactersWithSpaces>8444</CharactersWithSpaces>
  <Paragraphs>156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2022-01-10T20:04:00Z</dcterms:created>
  <dc:creator>grrr</dc:creator>
  <dc:description/>
  <dc:language>ru-RU</dc:language>
  <cp:lastModifiedBy/>
  <cp:lastPrinted>2022-01-12T08:55:06Z</cp:lastPrinted>
  <dcterms:modified xsi:type="dcterms:W3CDTF">2022-01-24T23:11:34Z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