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w:rPr>
          <w:rFonts w:eastAsia="Verdana" w:cs="Times New Roman" w:ascii="Times New Roman" w:hAnsi="Times New Roman"/>
          <w:sz w:val="28"/>
          <w:szCs w:val="28"/>
          <w:lang w:eastAsia="hi-IN" w:bidi="hi-IN"/>
        </w:rPr>
        <w:t>РОССИЙСКАЯ ФЕДЕРАЦИЯ</w:t>
      </w:r>
    </w:p>
    <w:p>
      <w:pPr>
        <w:pStyle w:val="Style17"/>
        <w:spacing w:before="0" w:after="0"/>
        <w:jc w:val="center"/>
        <w:rPr>
          <w:rFonts w:ascii="Times New Roman" w:hAnsi="Times New Roman" w:eastAsia="Verdana" w:cs="Times New Roman"/>
          <w:sz w:val="28"/>
          <w:szCs w:val="28"/>
          <w:lang w:eastAsia="hi-IN" w:bidi="hi-IN"/>
        </w:rPr>
      </w:pPr>
      <w:r>
        <w:rPr>
          <w:rFonts w:eastAsia="Verdana" w:cs="Times New Roman" w:ascii="Times New Roman" w:hAnsi="Times New Roman"/>
          <w:sz w:val="28"/>
          <w:szCs w:val="28"/>
          <w:lang w:eastAsia="hi-IN" w:bidi="hi-IN"/>
        </w:rPr>
        <w:t>КАРАЧАЕВО-ЧЕРКЕССКАЯ РЕСПУБЛИКА</w:t>
      </w:r>
    </w:p>
    <w:p>
      <w:pPr>
        <w:pStyle w:val="Style17"/>
        <w:spacing w:before="0" w:after="0"/>
        <w:jc w:val="center"/>
        <w:rPr>
          <w:rFonts w:ascii="Times New Roman" w:hAnsi="Times New Roman" w:eastAsia="Verdana" w:cs="Times New Roman"/>
          <w:sz w:val="28"/>
          <w:szCs w:val="28"/>
          <w:lang w:eastAsia="hi-IN" w:bidi="hi-IN"/>
        </w:rPr>
      </w:pPr>
      <w:r>
        <w:rPr>
          <w:rFonts w:eastAsia="Verdana" w:cs="Times New Roman" w:ascii="Times New Roman" w:hAnsi="Times New Roman"/>
          <w:sz w:val="28"/>
          <w:szCs w:val="28"/>
          <w:lang w:eastAsia="hi-IN" w:bidi="hi-IN"/>
        </w:rPr>
        <w:t>УРУПСКИЙ МУНИЦИПАЛЬНЫЙ РАЙОН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 w:eastAsia="Verdana" w:cs="Times New Roman"/>
          <w:sz w:val="28"/>
          <w:szCs w:val="28"/>
          <w:lang w:eastAsia="hi-IN" w:bidi="hi-IN"/>
        </w:rPr>
      </w:pPr>
      <w:r>
        <w:rPr>
          <w:rFonts w:eastAsia="Verdana" w:cs="Times New Roman" w:ascii="Times New Roman" w:hAnsi="Times New Roman"/>
          <w:sz w:val="28"/>
          <w:szCs w:val="28"/>
          <w:lang w:eastAsia="hi-IN" w:bidi="hi-IN"/>
        </w:rPr>
        <w:t>АДМИНИСТРАЦИЯ ПРЕДГОРНЕНСКОГО СЕЛЬСКОГО ПОСЕЛЕНИЯ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Verdana" w:cs="Times New Roman" w:ascii="Times New Roman" w:hAnsi="Times New Roman"/>
          <w:sz w:val="28"/>
          <w:szCs w:val="28"/>
          <w:lang w:eastAsia="hi-IN" w:bidi="hi-IN"/>
        </w:rPr>
        <w:t>П О С Т А Н О В Л  Е Н И Е</w:t>
      </w:r>
    </w:p>
    <w:p>
      <w:pPr>
        <w:pStyle w:val="Normal"/>
        <w:shd w:val="clear" w:fill="FFFFFF"/>
        <w:ind w:left="0" w:right="96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val="ru-RU" w:eastAsia="hi-IN" w:bidi="hi-IN"/>
        </w:rPr>
        <w:t>16.11.2022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val="ru-RU" w:eastAsia="hi-IN" w:bidi="hi-IN"/>
        </w:rPr>
        <w:t xml:space="preserve">                                  </w:t>
      </w:r>
      <w:r>
        <w:rPr>
          <w:rFonts w:eastAsia="Verdana" w:cs="Times New Roman" w:ascii="Times New Roman" w:hAnsi="Times New Roman"/>
          <w:sz w:val="28"/>
          <w:szCs w:val="28"/>
          <w:u w:val="none"/>
          <w:lang w:val="ru-RU" w:eastAsia="hi-IN" w:bidi="hi-IN"/>
        </w:rPr>
        <w:t>с. Предгорное                                       №</w:t>
      </w:r>
      <w:r>
        <w:rPr>
          <w:rFonts w:eastAsia="Verdana" w:cs="Times New Roman" w:ascii="Times New Roman" w:hAnsi="Times New Roman"/>
          <w:sz w:val="28"/>
          <w:szCs w:val="28"/>
          <w:u w:val="none"/>
          <w:lang w:val="ru-RU" w:eastAsia="hi-IN" w:bidi="hi-IN"/>
        </w:rPr>
        <w:t>63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Предгорненского сельского поселения от 28.02.2022 №13 «Об утверждении муниципальной программы </w:t>
      </w:r>
      <w:r>
        <w:rPr>
          <w:rFonts w:cs="Times New Roman" w:ascii="Times New Roman" w:hAnsi="Times New Roman"/>
          <w:bCs/>
          <w:sz w:val="28"/>
          <w:szCs w:val="28"/>
        </w:rPr>
        <w:t>«Гармонизация межнациональных (межэтнических) отношений, воспитанию толерантности на территории Предгорненского сельского поселения на 2022-2024 годы»</w:t>
      </w:r>
    </w:p>
    <w:p>
      <w:pPr>
        <w:pStyle w:val="Normal"/>
        <w:spacing w:before="280" w:after="28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На основании представления прокуратуры Урупского района от 28.04.2022 №07-03-2022</w:t>
      </w:r>
    </w:p>
    <w:p>
      <w:pPr>
        <w:pStyle w:val="Normal"/>
        <w:spacing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Раздел 4 Муниципальной программы «Гармонизация межнациональных (межэтнических) отношений, воспитанию толерантности на территории Предгорненского сельского поселения на 2022-2024 годы» изложить в следующей редакции: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Перечень и описание программных мероприятий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0071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33"/>
        <w:gridCol w:w="61"/>
        <w:gridCol w:w="4730"/>
        <w:gridCol w:w="1"/>
        <w:gridCol w:w="2324"/>
        <w:gridCol w:w="1"/>
        <w:gridCol w:w="2420"/>
      </w:tblGrid>
      <w:tr>
        <w:trPr/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</w:tc>
      </w:tr>
      <w:tr>
        <w:trPr/>
        <w:tc>
          <w:tcPr>
            <w:tcW w:w="100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1.Организационно-правовое обеспечение сферы межнациональных и межконфессиональных отношений</w:t>
            </w:r>
          </w:p>
        </w:tc>
      </w:tr>
      <w:tr>
        <w:trPr/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мониторингов законодательства в сфере межнациональных и межконфессиональных отношений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с/п</w:t>
            </w:r>
          </w:p>
        </w:tc>
      </w:tr>
      <w:tr>
        <w:trPr/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нормативно-правовых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с/п</w:t>
            </w:r>
          </w:p>
        </w:tc>
      </w:tr>
      <w:tr>
        <w:trPr/>
        <w:tc>
          <w:tcPr>
            <w:tcW w:w="100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2. Развитие национально-культурного взаимодействия представителей различных национальностей и конфессий</w:t>
            </w:r>
          </w:p>
        </w:tc>
      </w:tr>
      <w:tr>
        <w:trPr/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мероприятий, направленных на укрепление межнациональной и межконфессиональной солидарности среди жителей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соответствии с планами работы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Администрации с/п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с/п, СДК Предгорненского СП</w:t>
            </w:r>
          </w:p>
        </w:tc>
      </w:tr>
      <w:tr>
        <w:trPr/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28282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282828"/>
                <w:sz w:val="24"/>
                <w:szCs w:val="24"/>
              </w:rPr>
              <w:t>Мероприятия в рамках проведения</w:t>
              <w:br/>
              <w:t>Дня русского языка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Предгорненского СП</w:t>
            </w:r>
          </w:p>
        </w:tc>
      </w:tr>
      <w:tr>
        <w:trPr/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28282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282828"/>
                <w:sz w:val="24"/>
                <w:szCs w:val="24"/>
              </w:rPr>
              <w:t>День России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Предгорненского СП</w:t>
            </w:r>
          </w:p>
        </w:tc>
      </w:tr>
      <w:tr>
        <w:trPr/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28282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282828"/>
                <w:sz w:val="24"/>
                <w:szCs w:val="24"/>
              </w:rPr>
              <w:t>Конкурсные мероприятия ко Дню единения народов КЧР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Предгорненского СП</w:t>
            </w:r>
          </w:p>
        </w:tc>
      </w:tr>
      <w:tr>
        <w:trPr/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color w:val="282828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282828"/>
                <w:sz w:val="24"/>
                <w:szCs w:val="24"/>
              </w:rPr>
              <w:t>Мероприятия приуроченные ко Дню народного единства</w:t>
            </w:r>
          </w:p>
          <w:p>
            <w:pPr>
              <w:pStyle w:val="Style17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Предгорненского СП</w:t>
            </w:r>
          </w:p>
        </w:tc>
      </w:tr>
      <w:tr>
        <w:trPr/>
        <w:tc>
          <w:tcPr>
            <w:tcW w:w="100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3.Мероприятия, способствующие установлению гармоничных отношений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мониторинга и оценки миграционной ситуации на территории Предгорненского сельского поселения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1раз в год</w:t>
            </w:r>
          </w:p>
        </w:tc>
        <w:tc>
          <w:tcPr>
            <w:tcW w:w="2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с/п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Вести учет данных по учету иностранных граждан, временно или постоянно проживающих на территории Предгорненского сельского поселения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мере приезда иностранных граждан;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отсутствия приезда иностранных граждан раз в квартал</w:t>
            </w:r>
          </w:p>
        </w:tc>
        <w:tc>
          <w:tcPr>
            <w:tcW w:w="2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с/п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Предгорненского сельского поселения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приезда иностранных граждан в течение 5 рабочих дней;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отсутствия приезда иностранных граждан раз в квартал</w:t>
            </w:r>
          </w:p>
        </w:tc>
        <w:tc>
          <w:tcPr>
            <w:tcW w:w="2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с/п,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информации  на официальном сайте Предгорненского сельского поселения, посвященной межнациональным и межконфессиональным отношениям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с/п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eastAsia="DejaVu Sans" w:cs="Times New Roman"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rFonts w:cs="Times New Roman" w:ascii="Times New Roman" w:hAnsi="Times New Roman"/>
          <w:bCs/>
          <w:sz w:val="28"/>
          <w:szCs w:val="28"/>
        </w:rPr>
        <w:t>Предгорненского</w:t>
      </w:r>
      <w:r>
        <w:rPr>
          <w:rFonts w:eastAsia="DejaVu Sans"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DejaVu Sans"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согласно действующему законодательству.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И. о. главы </w:t>
      </w:r>
      <w:r>
        <w:rPr>
          <w:rFonts w:cs="Times New Roman" w:ascii="Times New Roman" w:hAnsi="Times New Roman"/>
          <w:sz w:val="28"/>
          <w:szCs w:val="28"/>
        </w:rPr>
        <w:t>администрации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Предгорненского сельского поселения                                            К. Х. Гаджаев</w:t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altName w:val="Letter Gothic"/>
    <w:charset w:val="cc"/>
    <w:family w:val="roman"/>
    <w:pitch w:val="variable"/>
  </w:font>
  <w:font w:name="Tahoma">
    <w:altName w:val="?l?r ???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zh-CN" w:bidi="ar-SA"/>
    </w:rPr>
  </w:style>
  <w:style w:type="paragraph" w:styleId="3">
    <w:name w:val="Heading 3"/>
    <w:basedOn w:val="Normal"/>
    <w:next w:val="Normal"/>
    <w:qFormat/>
    <w:pPr>
      <w:widowControl w:val="false"/>
      <w:numPr>
        <w:ilvl w:val="2"/>
        <w:numId w:val="1"/>
      </w:numPr>
      <w:suppressAutoHyphens w:val="true"/>
      <w:jc w:val="both"/>
      <w:outlineLvl w:val="2"/>
      <w:outlineLvl w:val="2"/>
    </w:pPr>
    <w:rPr>
      <w:rFonts w:ascii="Arial" w:hAnsi="Arial" w:eastAsia="Arial" w:cs="Aria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  <w:b w:val="false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4">
    <w:name w:val="WW8Num3z4"/>
    <w:qFormat/>
    <w:rPr>
      <w:rFonts w:ascii="Courier New;Letter Gothic" w:hAnsi="Courier New;Letter Gothic" w:cs="Courier New;Letter Gothic"/>
    </w:rPr>
  </w:style>
  <w:style w:type="character" w:styleId="WW8Num4z0">
    <w:name w:val="WW8Num4z0"/>
    <w:qFormat/>
    <w:rPr>
      <w:rFonts w:cs="Times New Roman"/>
      <w:b w:val="false"/>
    </w:rPr>
  </w:style>
  <w:style w:type="character" w:styleId="WW8Num4z1">
    <w:name w:val="WW8Num4z1"/>
    <w:qFormat/>
    <w:rPr>
      <w:rFonts w:cs="Times New Roman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;?l?r ???" w:hAnsi="Tahoma;?l?r ???" w:cs="Tahoma;?l?r ???"/>
      <w:sz w:val="16"/>
      <w:szCs w:val="16"/>
    </w:rPr>
  </w:style>
  <w:style w:type="character" w:styleId="1">
    <w:name w:val="Заголовок №1_"/>
    <w:basedOn w:val="Style13"/>
    <w:qFormat/>
    <w:rPr>
      <w:sz w:val="27"/>
      <w:szCs w:val="27"/>
      <w:shd w:fill="FFFFFF" w:val="clear"/>
    </w:rPr>
  </w:style>
  <w:style w:type="character" w:styleId="Style15">
    <w:name w:val="Нижний колонтитул Знак"/>
    <w:basedOn w:val="Style13"/>
    <w:qFormat/>
    <w:rPr>
      <w:rFonts w:ascii="Times New Roman" w:hAnsi="Times New Roman" w:eastAsia="Times New Roman" w:cs="Times New Roman"/>
      <w:sz w:val="24"/>
      <w:szCs w:val="24"/>
    </w:rPr>
  </w:style>
  <w:style w:type="character" w:styleId="DefaultParagraphFont">
    <w:name w:val="Default Paragraph Font"/>
    <w:qFormat/>
    <w:rPr/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;?l?r ???" w:hAnsi="Tahoma;?l?r ???" w:cs="Tahoma;?l?r ???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eastAsia="Times New Roman"/>
    </w:rPr>
  </w:style>
  <w:style w:type="paragraph" w:styleId="11">
    <w:name w:val="Заголовок №1"/>
    <w:basedOn w:val="Normal"/>
    <w:qFormat/>
    <w:pPr>
      <w:shd w:val="clear" w:fill="FFFFFF"/>
      <w:spacing w:lineRule="atLeast" w:line="240" w:before="300" w:after="120"/>
      <w:jc w:val="center"/>
    </w:pPr>
    <w:rPr>
      <w:sz w:val="27"/>
      <w:szCs w:val="27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Textbody">
    <w:name w:val="Text body"/>
    <w:basedOn w:val="Normal"/>
    <w:qFormat/>
    <w:pPr>
      <w:suppressAutoHyphens w:val="true"/>
      <w:spacing w:lineRule="auto" w:line="288" w:before="0" w:after="140"/>
      <w:textAlignment w:val="baseline"/>
    </w:pPr>
    <w:rPr>
      <w:rFonts w:ascii="Liberation Serif;Times New Roman" w:hAnsi="Liberation Serif;Times New Roman" w:eastAsia="SimSun;宋体" w:cs="Mangal;Courier New"/>
      <w:sz w:val="24"/>
      <w:szCs w:val="24"/>
      <w:lang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LibreOffice/5.3.2.2$Windows_x86 LibreOffice_project/6cd4f1ef626f15116896b1d8e1398b56da0d0ee1</Application>
  <Pages>2</Pages>
  <Words>372</Words>
  <Characters>2807</Characters>
  <CharactersWithSpaces>3226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2020-12-09T11:48:00Z</dcterms:created>
  <dc:creator>Гладышева</dc:creator>
  <dc:description/>
  <dc:language>ru-RU</dc:language>
  <cp:lastModifiedBy/>
  <cp:lastPrinted>2022-03-02T15:41:00Z</cp:lastPrinted>
  <dcterms:modified xsi:type="dcterms:W3CDTF">2022-11-22T11:10:57Z</dcterms:modified>
  <cp:revision>11</cp:revision>
  <dc:subject/>
  <dc:title/>
</cp:coreProperties>
</file>