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 – ЧЕРКЕССКАЯ  РЕСПУБЛИКА</w:t>
      </w:r>
    </w:p>
    <w:p>
      <w:pPr>
        <w:pStyle w:val="Normal"/>
        <w:ind w:left="-34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УРУПСКОГО 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18.01.2023 г.</w:t>
      </w:r>
      <w:r>
        <w:rPr>
          <w:sz w:val="28"/>
          <w:szCs w:val="28"/>
        </w:rPr>
        <w:t xml:space="preserve">                               с. Предгорное                                              № </w:t>
      </w:r>
      <w:r>
        <w:rPr>
          <w:sz w:val="28"/>
          <w:szCs w:val="28"/>
        </w:rPr>
        <w:t>1</w:t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Об утверждении проектно - сметной документации проекта: </w:t>
      </w:r>
      <w:r>
        <w:rPr>
          <w:rFonts w:cs="Times New Roman"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eastAsia="ru-RU" w:bidi="ru-RU"/>
        </w:rPr>
        <w:t>Капитальный ремонт берегоукрепительных сооружений на р. Большая Лаба в с. Предгорное, Урупский район, КЧР</w:t>
      </w:r>
      <w:r>
        <w:rPr>
          <w:rFonts w:cs="Times New Roman"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».</w:t>
      </w:r>
    </w:p>
    <w:p>
      <w:pPr>
        <w:pStyle w:val="Style16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>
          <w:rFonts w:cs="Times New Roman"/>
          <w:spacing w:val="0"/>
          <w:w w:val="100"/>
          <w:highlight w:val="white"/>
          <w:lang w:val="ru-RU" w:eastAsia="ru-RU" w:bidi="ru-RU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6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На основании Градостроительного кодекса Российской Федерации, Федерального закона от 06.10.2003 №131-Ф3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Предгорненского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сельского поселения,</w:t>
      </w:r>
    </w:p>
    <w:p>
      <w:pPr>
        <w:pStyle w:val="Normal"/>
        <w:spacing w:lineRule="atLeast" w:line="100"/>
        <w:ind w:left="0" w:right="0" w:first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spacing w:lineRule="atLeast" w:line="100"/>
        <w:ind w:left="0" w:right="0" w:first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Утвердить проектно-сметную документацию проекта: </w:t>
      </w:r>
      <w:r>
        <w:rPr>
          <w:rFonts w:cs="Times New Roman"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eastAsia="ru-RU" w:bidi="ru-RU"/>
        </w:rPr>
        <w:t>Капитальный ремонт берегоукрепительных сооружений на р. Большая Лаба в с. Предгорное, Урупский район, КЧР</w:t>
      </w:r>
      <w:r>
        <w:rPr>
          <w:rFonts w:cs="Times New Roman"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» на основании положительного заключения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государственной экспертизы республиканского государственного учреждения «Управление государственной экспертизы в строительстве Карачаево-Черкесской Республики»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от 17.01.2023 № 09-1-1-3-001340-2023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1.1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Общая сметная стоимость в базисном уровне цен (на 01.01.200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0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года без НДС) на дату утверждения заключения экспертизы —</w:t>
      </w:r>
      <w:r>
        <w:rPr>
          <w:rFonts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>10026.48</w:t>
      </w:r>
      <w:r>
        <w:rPr>
          <w:rFonts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тыс. рублей, в том числе строительно-монтажные работы —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9109.32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тыс. рублей.</w:t>
      </w:r>
    </w:p>
    <w:p>
      <w:pPr>
        <w:pStyle w:val="Style16"/>
        <w:keepNext/>
        <w:keepLines w:val="false"/>
        <w:widowControl w:val="false"/>
        <w:numPr>
          <w:ilvl w:val="0"/>
          <w:numId w:val="0"/>
        </w:numPr>
        <w:shd w:val="clear" w:color="auto" w:fill="auto"/>
        <w:tabs>
          <w:tab w:val="left" w:pos="1210" w:leader="none"/>
        </w:tabs>
        <w:bidi w:val="0"/>
        <w:spacing w:lineRule="auto" w:line="240" w:before="0" w:after="0"/>
        <w:ind w:left="1080" w:right="0" w:hanging="0"/>
        <w:jc w:val="both"/>
        <w:rPr>
          <w:sz w:val="28"/>
          <w:szCs w:val="28"/>
        </w:rPr>
      </w:pP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 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1.2 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Общая сметная стоимость в текущем уровне цен на дату утверждения заключения экспертизы (в ценах 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>4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квартала 2022 года с НДС) — 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>116034.71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тыс. рублей, в том числе строительно-монтажные работы (без НДС) —</w:t>
      </w:r>
      <w:r>
        <w:rPr>
          <w:color w:val="702F35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>87980.05</w:t>
      </w:r>
      <w:r>
        <w:rPr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тыс. рублей.</w:t>
      </w:r>
    </w:p>
    <w:p>
      <w:pPr>
        <w:pStyle w:val="Style16"/>
        <w:widowControl w:val="false"/>
        <w:numPr>
          <w:ilvl w:val="0"/>
          <w:numId w:val="0"/>
        </w:numPr>
        <w:shd w:val="clear" w:color="auto" w:fill="auto"/>
        <w:tabs>
          <w:tab w:val="left" w:pos="1210" w:leader="none"/>
        </w:tabs>
        <w:bidi w:val="0"/>
        <w:spacing w:lineRule="auto" w:line="240" w:before="0" w:after="0"/>
        <w:ind w:left="108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2.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>Предгорненского</w:t>
      </w:r>
      <w:r>
        <w:rPr>
          <w:rFonts w:ascii="Times New Roman" w:hAnsi="Times New Roman"/>
          <w:b w:val="false"/>
          <w:bCs w:val="false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сельского поселения.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Настоящее постановление вступает в силу со дня его подписания.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50" w:type="dxa"/>
        <w:jc w:val="left"/>
        <w:tblInd w:w="81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32"/>
        <w:gridCol w:w="4226"/>
        <w:gridCol w:w="2292"/>
      </w:tblGrid>
      <w:tr>
        <w:trPr/>
        <w:tc>
          <w:tcPr>
            <w:tcW w:w="32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u w:val="none"/>
              </w:rPr>
              <w:t xml:space="preserve">И.о.главы администрации </w:t>
            </w:r>
            <w:r>
              <w:rPr>
                <w:rStyle w:val="C8edf2e5f0ede5f2f1f1fbebeae0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Предгорненского </w:t>
            </w: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сельского поселения   </w:t>
            </w:r>
          </w:p>
        </w:tc>
        <w:tc>
          <w:tcPr>
            <w:tcW w:w="42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Style w:val="C8edf2e5f0ede5f2f1f1fbebeae0"/>
                <w:rFonts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Style w:val="C8edf2e5f0ede5f2f1f1fbebeae0"/>
                <w:rFonts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Style w:val="C8edf2e5f0ede5f2f1f1fbebeae0"/>
                <w:rFonts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>К. Х. Гаджаев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 xml:space="preserve">                                     </w:t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highlight w:val="white"/>
        <w:szCs w:val="26"/>
        <w:iCs w:val="false"/>
        <w:bCs w:val="false"/>
        <w:w w:val="100"/>
        <w:rFonts w:eastAsia="Times New Roman" w:cs="Times New Roman"/>
        <w:color w:val="372B2F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highlight w:val="white"/>
        <w:szCs w:val="26"/>
        <w:iCs w:val="false"/>
        <w:bCs w:val="false"/>
        <w:w w:val="100"/>
        <w:rFonts w:eastAsia="Times New Roman" w:cs="Times New Roman"/>
        <w:color w:val="372B2F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372B2F"/>
      <w:spacing w:val="0"/>
      <w:w w:val="100"/>
      <w:sz w:val="26"/>
      <w:szCs w:val="26"/>
      <w:highlight w:val="white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372B2F"/>
      <w:spacing w:val="0"/>
      <w:w w:val="100"/>
      <w:sz w:val="26"/>
      <w:szCs w:val="26"/>
      <w:highlight w:val="white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267</TotalTime>
  <Application>LibreOffice/5.3.2.2$Windows_x86 LibreOffice_project/6cd4f1ef626f15116896b1d8e1398b56da0d0ee1</Application>
  <Pages>1</Pages>
  <Words>122</Words>
  <Characters>938</Characters>
  <CharactersWithSpaces>1162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2017-12-13T11:00:00Z</dcterms:created>
  <dc:creator>1</dc:creator>
  <dc:description/>
  <dc:language>ru-RU</dc:language>
  <cp:lastModifiedBy/>
  <cp:lastPrinted>2022-11-22T15:38:59Z</cp:lastPrinted>
  <dcterms:modified xsi:type="dcterms:W3CDTF">2023-01-19T16:08:53Z</dcterms:modified>
  <cp:revision>50</cp:revision>
  <dc:subject/>
  <dc:title/>
</cp:coreProperties>
</file>