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800F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РОССИЙСКАЯ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ФЕДЕРАЦИЯ</w:t>
      </w:r>
    </w:p>
    <w:p w14:paraId="7AD87B17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КАРАЧАЕВО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-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ЧЕРКЕССКАЯ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РЕСПУБЛИКА</w:t>
      </w:r>
    </w:p>
    <w:p w14:paraId="5DF711AC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УРУПСКИЙ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МУНИЦИПАЛЬНЫЙ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РАЙОН</w:t>
      </w:r>
    </w:p>
    <w:p w14:paraId="6A6DD81C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СОВЕТ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ПОСЕЛЕНИЯ</w:t>
      </w:r>
    </w:p>
    <w:p w14:paraId="1308A834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РЕШЕНИЕ</w:t>
      </w:r>
    </w:p>
    <w:p w14:paraId="4E299A4C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                                                                                         </w:t>
      </w:r>
    </w:p>
    <w:p w14:paraId="7701F07A" w14:textId="6CDEFD54" w:rsidR="00E267AD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«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29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»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декабря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20</w:t>
      </w:r>
      <w:r>
        <w:rPr>
          <w:rFonts w:ascii="Times New Roman" w:eastAsia="Times New Roman" w:hAnsi="Liberation Serif"/>
          <w:kern w:val="1"/>
          <w:sz w:val="24"/>
          <w:szCs w:val="24"/>
        </w:rPr>
        <w:t>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3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                  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Предгорное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ab/>
        <w:t xml:space="preserve">              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ab/>
        <w:t xml:space="preserve">      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 xml:space="preserve">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ab/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20</w:t>
      </w:r>
    </w:p>
    <w:p w14:paraId="06347D44" w14:textId="77777777" w:rsidR="00E267AD" w:rsidRDefault="00E267AD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</w:p>
    <w:p w14:paraId="4927A0E6" w14:textId="77777777" w:rsidR="00AA7212" w:rsidRDefault="00AA7212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</w:p>
    <w:p w14:paraId="62BBA15F" w14:textId="75154B86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>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</w:p>
    <w:p w14:paraId="532A9B98" w14:textId="21DEE6A4" w:rsid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и</w:t>
      </w:r>
    </w:p>
    <w:p w14:paraId="249FE725" w14:textId="6ECEDD9C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5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и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6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>
        <w:rPr>
          <w:rFonts w:ascii="Times New Roman" w:eastAsia="Times New Roman" w:hAnsi="Liberation Serif"/>
          <w:kern w:val="1"/>
          <w:sz w:val="24"/>
          <w:szCs w:val="24"/>
        </w:rPr>
        <w:t>годов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25733083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kern w:val="1"/>
          <w:sz w:val="24"/>
          <w:szCs w:val="24"/>
        </w:rPr>
      </w:pPr>
    </w:p>
    <w:p w14:paraId="3A801E5B" w14:textId="77777777" w:rsidR="00AA7212" w:rsidRDefault="002B4AD1" w:rsidP="002B4AD1">
      <w:pPr>
        <w:suppressAutoHyphens/>
        <w:autoSpaceDE w:val="0"/>
        <w:autoSpaceDN w:val="0"/>
        <w:adjustRightInd w:val="0"/>
        <w:spacing w:after="0" w:line="240" w:lineRule="auto"/>
        <w:ind w:right="-182" w:firstLine="708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соответствии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кодексом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законом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06.10.2003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131-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ФЗ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«Об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общих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принципах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организации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Федерации»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Уставом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Положением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процессе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,</w:t>
      </w:r>
    </w:p>
    <w:p w14:paraId="4F18E2A9" w14:textId="6E1F1BF3" w:rsidR="002B4AD1" w:rsidRPr="002B4AD1" w:rsidRDefault="002B4AD1" w:rsidP="00AA7212">
      <w:pPr>
        <w:suppressAutoHyphens/>
        <w:autoSpaceDE w:val="0"/>
        <w:autoSpaceDN w:val="0"/>
        <w:adjustRightInd w:val="0"/>
        <w:spacing w:after="0" w:line="240" w:lineRule="auto"/>
        <w:ind w:right="-182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Совет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</w:p>
    <w:p w14:paraId="08BC5BC5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</w:p>
    <w:p w14:paraId="3D193709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Р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Е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Ш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Л</w:t>
      </w:r>
      <w:r w:rsidRPr="002B4AD1">
        <w:rPr>
          <w:rFonts w:ascii="Times New Roman" w:eastAsia="Times New Roman" w:hAnsi="Liberation Serif"/>
          <w:b/>
          <w:kern w:val="1"/>
          <w:sz w:val="24"/>
          <w:szCs w:val="24"/>
        </w:rPr>
        <w:t>:</w:t>
      </w:r>
    </w:p>
    <w:p w14:paraId="0B611D07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b/>
          <w:kern w:val="1"/>
          <w:sz w:val="24"/>
          <w:szCs w:val="24"/>
        </w:rPr>
      </w:pPr>
    </w:p>
    <w:p w14:paraId="27A35755" w14:textId="1688E090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1.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б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юджет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(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далее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–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местный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)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расходам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4862000</w:t>
      </w:r>
      <w:r w:rsidR="00E267AD" w:rsidRPr="00A37D7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,00</w:t>
      </w:r>
      <w:r w:rsidR="00E267AD" w:rsidRPr="002B4AD1">
        <w:rPr>
          <w:rFonts w:ascii="Times New Roman" w:eastAsia="Times New Roman" w:hAnsi="Liberation Serif"/>
          <w:color w:val="FF0000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.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и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доходам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4862000</w:t>
      </w:r>
      <w:r w:rsidR="00E267AD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,00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r w:rsidR="00E267AD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.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bookmarkStart w:id="0" w:name="_Hlk151999019"/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расходам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4891900</w:t>
      </w:r>
      <w:r w:rsidR="00A37D72" w:rsidRPr="00A37D7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,00</w:t>
      </w:r>
      <w:r w:rsidRPr="002B4AD1">
        <w:rPr>
          <w:rFonts w:ascii="Times New Roman" w:eastAsia="Times New Roman" w:hAnsi="Liberation Serif"/>
          <w:color w:val="FF0000"/>
          <w:kern w:val="1"/>
          <w:sz w:val="24"/>
          <w:szCs w:val="24"/>
          <w:shd w:val="clear" w:color="auto" w:fill="FFFFFF" w:themeFill="background1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доходам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4891900</w:t>
      </w:r>
      <w:r w:rsidR="00385323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,00</w:t>
      </w:r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bookmarkEnd w:id="0"/>
      <w:r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.</w:t>
      </w:r>
      <w:r w:rsidR="00AA721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6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годов</w:t>
      </w:r>
      <w:r w:rsidR="00E267AD" w:rsidRP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расходам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4922000</w:t>
      </w:r>
      <w:r w:rsidR="00E267AD" w:rsidRPr="00A37D7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,00</w:t>
      </w:r>
      <w:r w:rsidR="00E267AD" w:rsidRPr="002B4AD1">
        <w:rPr>
          <w:rFonts w:ascii="Times New Roman" w:eastAsia="Times New Roman" w:hAnsi="Liberation Serif"/>
          <w:color w:val="FF0000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.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и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доходам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в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сумме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 xml:space="preserve"> </w:t>
      </w:r>
      <w:r w:rsidR="00AA7212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4922000</w:t>
      </w:r>
      <w:r w:rsidR="00E267AD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,00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руб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  <w:shd w:val="clear" w:color="auto" w:fill="FFFFFF" w:themeFill="background1"/>
        </w:rPr>
        <w:t>.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</w:t>
      </w:r>
    </w:p>
    <w:p w14:paraId="3C249E42" w14:textId="60C0EBE8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2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доходы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поступающие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году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bookmarkStart w:id="1" w:name="_Hlk151999338"/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годы</w:t>
      </w:r>
      <w:bookmarkEnd w:id="1"/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формируются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уплаты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федеральных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региональных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налогов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сборов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нормативам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установленным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кодексом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Законом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Карачаево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-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Черкесской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Республики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«О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межбюджетных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отношениях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Карачаево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-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Черкесской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Республике»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приложению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6.</w:t>
      </w:r>
    </w:p>
    <w:p w14:paraId="63D825C3" w14:textId="56529C5B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3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объем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поступления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приложению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1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762D973B" w14:textId="739D45ED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целях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обеспечения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полноты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контроля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соблюдением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налогового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законодательства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федеральные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региональные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налоги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сборы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являющиеся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источниками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формирования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зачисляются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казначейства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для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последующего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перечисления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разных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уровней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позднее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дня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следующего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днем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поступления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казначейства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4E0FBA21" w14:textId="1C721A4A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Порядок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взаимодействия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казначейства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Министерства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финансов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Карачаево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-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Черкесской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Республики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учету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федеральных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региональных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налогов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сборов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также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определяется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соответствующими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соглашениями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4C645C07" w14:textId="0CDC1B60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5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приоритетными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статьями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подлежащему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финансированию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полном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объеме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являются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:</w:t>
      </w:r>
    </w:p>
    <w:p w14:paraId="412B62CB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оплата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труда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;</w:t>
      </w:r>
    </w:p>
    <w:p w14:paraId="3879CEF4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начисление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фонд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оплаты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труда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;</w:t>
      </w:r>
    </w:p>
    <w:p w14:paraId="34052BE0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ab/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трансферты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населению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(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выплата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пенсии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пособия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прочие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выплаты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социальные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нужды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);</w:t>
      </w:r>
    </w:p>
    <w:p w14:paraId="457103EC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текущие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коммунальным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услугам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</w:p>
    <w:p w14:paraId="1BB03C85" w14:textId="7F1BC571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6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пределах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общего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объема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установленных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статьей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1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настоящего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решения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распределение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ассигнований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lastRenderedPageBreak/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разделам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подразделам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классификации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приложению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2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     </w:t>
      </w:r>
    </w:p>
    <w:p w14:paraId="530E6E3E" w14:textId="1D322510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7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ведомственную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структуру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годы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приложению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3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6BA815A4" w14:textId="3C7DED96" w:rsid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8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ведомственную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структура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программных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годы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приложению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6FC3B6BA" w14:textId="5E2E63CD" w:rsidR="00AA7212" w:rsidRPr="002B4AD1" w:rsidRDefault="00AA7212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>
        <w:rPr>
          <w:rFonts w:ascii="Times New Roman" w:eastAsia="Times New Roman" w:hAnsi="Liberation Serif"/>
          <w:kern w:val="1"/>
          <w:sz w:val="24"/>
          <w:szCs w:val="24"/>
        </w:rPr>
        <w:t xml:space="preserve">       9.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Утвердить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распределение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бюджетных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ассигнований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целевым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статьям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(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муниципальным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программам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непрограммным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направлениям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деятельности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),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группам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видов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разделам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подразделам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классификации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2024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годов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согласно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приложению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№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5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к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настоящему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Решению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2A531B9B" w14:textId="3C2537B9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10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Учесть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составе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субвенции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сельского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поселения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осуществление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отдельных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государственных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полномочий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Российской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Федерации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первичному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воинскому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учету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территориях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где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отсутствуют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военные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комиссариаты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2024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–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1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4070</w:t>
      </w:r>
      <w:r>
        <w:rPr>
          <w:rFonts w:ascii="Times New Roman" w:eastAsia="Times New Roman" w:hAnsi="Liberation Serif"/>
          <w:kern w:val="1"/>
          <w:sz w:val="24"/>
          <w:szCs w:val="24"/>
        </w:rPr>
        <w:t>0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рублей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- 1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545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00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руб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–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1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685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00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руб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5156D9DB" w14:textId="36FEBBBC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1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1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Установить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что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заключение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оплата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органами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образования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договоров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исполнение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которых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осуществляется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производятся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пределах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утвержденных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лимитов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соответствии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ведомственной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функциональной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экономической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классификациями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учетом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принятых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неисполненных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0BF08A84" w14:textId="54D38CAB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вытекающие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из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договоров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исполнение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которых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осуществляется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принятые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исполненные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органами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образования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сверх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утвержденных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лимитов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подлежат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оплате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25FEA945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подлежащих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исполнению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муниципальными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учреждениями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органами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образования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финансируемыми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из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основе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смет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обеспечивается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через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осуществляющий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кассовое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обслуживание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исполнения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35B08233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осуществляющий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кассовое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обслуживание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исполнения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имеет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право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приостанавливать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оплату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учреждений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образования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нарушающих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установленный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Администрацией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образования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порядок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подлежащих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исполнению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4F7FB8F7" w14:textId="77777777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Договор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заключенный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учреждением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или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образования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нарушением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требований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настоящей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статьи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либо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его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часть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устанавливающая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повышенные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обязательства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подлежат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признанию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недействительным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</w:p>
    <w:p w14:paraId="71E7BEC8" w14:textId="52BF1375" w:rsidR="002B4AD1" w:rsidRP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1</w:t>
      </w:r>
      <w:r w:rsidR="00AA7212">
        <w:rPr>
          <w:rFonts w:ascii="Times New Roman" w:eastAsia="Times New Roman" w:hAnsi="Liberation Serif"/>
          <w:kern w:val="1"/>
          <w:sz w:val="24"/>
          <w:szCs w:val="24"/>
        </w:rPr>
        <w:t>3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.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Нормативные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правовые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акты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органов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самоуправления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муниципального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образования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влекущие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дополнительные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за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счет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="00E267AD" w:rsidRP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также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сокращающие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его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доходную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базу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реализуются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применяются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только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наличии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соответствующих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источников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дополнительных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поступлений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местный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(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или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)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сокращении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расходов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конкретным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статьям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2025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 xml:space="preserve"> 2026 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годы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также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после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внесения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соответствующих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изменений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настоящее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Решение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628F03CD" w14:textId="3D09B8F2" w:rsid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случае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если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реализация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правового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акта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частично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(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полной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мере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)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обеспечена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источниками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финансирования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местном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бюджете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такой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правовой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акт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реализуется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lastRenderedPageBreak/>
        <w:t>применяется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пределах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средств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,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предусмотренных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эти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цели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местном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="00E267AD" w:rsidRPr="002B4AD1">
        <w:rPr>
          <w:rFonts w:ascii="Times New Roman" w:eastAsia="Times New Roman" w:hAnsi="Liberation Serif"/>
          <w:kern w:val="1"/>
          <w:sz w:val="24"/>
          <w:szCs w:val="24"/>
        </w:rPr>
        <w:t>бюджете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на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4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</w:t>
      </w:r>
      <w:r w:rsidRPr="002B4AD1"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плановый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период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5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и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202</w:t>
      </w:r>
      <w:r w:rsidR="00E267AD">
        <w:rPr>
          <w:rFonts w:ascii="Times New Roman" w:eastAsia="Times New Roman" w:hAnsi="Liberation Serif"/>
          <w:kern w:val="1"/>
          <w:sz w:val="24"/>
          <w:szCs w:val="24"/>
        </w:rPr>
        <w:t>6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годов</w:t>
      </w:r>
      <w:r w:rsidRPr="002B4AD1">
        <w:rPr>
          <w:rFonts w:ascii="Times New Roman" w:eastAsia="Times New Roman" w:hAnsi="Liberation Serif"/>
          <w:kern w:val="1"/>
          <w:sz w:val="24"/>
          <w:szCs w:val="24"/>
        </w:rPr>
        <w:t>.</w:t>
      </w:r>
    </w:p>
    <w:p w14:paraId="0E4BB972" w14:textId="597D809C" w:rsidR="00AA7212" w:rsidRPr="002B4AD1" w:rsidRDefault="00AA7212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  <w:r>
        <w:rPr>
          <w:rFonts w:ascii="Times New Roman" w:eastAsia="Times New Roman" w:hAnsi="Liberation Serif"/>
          <w:kern w:val="1"/>
          <w:sz w:val="24"/>
          <w:szCs w:val="24"/>
        </w:rPr>
        <w:t xml:space="preserve">      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13.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Настоящее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решение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вступает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в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силу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с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1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января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2024 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>года</w:t>
      </w:r>
      <w:r w:rsidRPr="00AA7212">
        <w:rPr>
          <w:rFonts w:ascii="Times New Roman" w:eastAsia="Times New Roman" w:hAnsi="Liberation Serif"/>
          <w:kern w:val="1"/>
          <w:sz w:val="24"/>
          <w:szCs w:val="24"/>
        </w:rPr>
        <w:t xml:space="preserve">      </w:t>
      </w:r>
    </w:p>
    <w:p w14:paraId="2391C723" w14:textId="756889EB" w:rsidR="002B4AD1" w:rsidRDefault="002B4AD1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</w:p>
    <w:p w14:paraId="31A25EF6" w14:textId="6D037A64" w:rsidR="0035041D" w:rsidRDefault="0035041D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</w:p>
    <w:p w14:paraId="332F461D" w14:textId="77777777" w:rsidR="00486E14" w:rsidRDefault="00486E14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</w:p>
    <w:p w14:paraId="0F81113A" w14:textId="77777777" w:rsidR="00486E14" w:rsidRPr="002B4AD1" w:rsidRDefault="00486E14" w:rsidP="002B4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kern w:val="1"/>
          <w:sz w:val="24"/>
          <w:szCs w:val="24"/>
        </w:rPr>
      </w:pPr>
    </w:p>
    <w:p w14:paraId="215B2D2C" w14:textId="1A56AB3F" w:rsidR="002B4AD1" w:rsidRPr="002B4AD1" w:rsidRDefault="0035041D" w:rsidP="002B4AD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z w:val="24"/>
          <w:szCs w:val="24"/>
        </w:rPr>
      </w:pPr>
      <w:r>
        <w:rPr>
          <w:rFonts w:ascii="Times New Roman" w:eastAsia="Times New Roman" w:hAnsi="Liberation Serif"/>
          <w:sz w:val="24"/>
          <w:szCs w:val="24"/>
        </w:rPr>
        <w:t>Глава</w:t>
      </w:r>
      <w:r>
        <w:rPr>
          <w:rFonts w:ascii="Times New Roman" w:eastAsia="Times New Roman" w:hAnsi="Liberation Serif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sz w:val="24"/>
          <w:szCs w:val="24"/>
        </w:rPr>
        <w:t>Предгорненского</w:t>
      </w:r>
      <w:r w:rsidRPr="002B4AD1">
        <w:rPr>
          <w:rFonts w:ascii="Times New Roman" w:eastAsia="Times New Roman" w:hAnsi="Liberation Serif"/>
          <w:sz w:val="24"/>
          <w:szCs w:val="24"/>
        </w:rPr>
        <w:t xml:space="preserve"> </w:t>
      </w:r>
      <w:r w:rsidRPr="002B4AD1">
        <w:rPr>
          <w:rFonts w:ascii="Times New Roman" w:eastAsia="Times New Roman" w:hAnsi="Liberation Serif"/>
          <w:sz w:val="24"/>
          <w:szCs w:val="24"/>
        </w:rPr>
        <w:t>сельского</w:t>
      </w:r>
      <w:r w:rsidR="002B4AD1" w:rsidRPr="002B4AD1">
        <w:rPr>
          <w:rFonts w:ascii="Times New Roman" w:eastAsia="Times New Roman" w:hAnsi="Liberation Serif"/>
          <w:sz w:val="24"/>
          <w:szCs w:val="24"/>
        </w:rPr>
        <w:t xml:space="preserve"> </w:t>
      </w:r>
      <w:r w:rsidR="002B4AD1" w:rsidRPr="002B4AD1">
        <w:rPr>
          <w:rFonts w:ascii="Times New Roman" w:eastAsia="Times New Roman" w:hAnsi="Liberation Serif"/>
          <w:sz w:val="24"/>
          <w:szCs w:val="24"/>
        </w:rPr>
        <w:t>поселения</w:t>
      </w:r>
      <w:r w:rsidR="002B4AD1" w:rsidRPr="002B4AD1">
        <w:rPr>
          <w:rFonts w:ascii="Times New Roman" w:eastAsia="Times New Roman" w:hAnsi="Liberation Serif"/>
          <w:sz w:val="24"/>
          <w:szCs w:val="24"/>
        </w:rPr>
        <w:tab/>
      </w:r>
      <w:r w:rsidR="002B4AD1">
        <w:rPr>
          <w:rFonts w:ascii="Times New Roman" w:eastAsia="Times New Roman" w:hAnsi="Liberation Serif"/>
          <w:sz w:val="24"/>
          <w:szCs w:val="24"/>
        </w:rPr>
        <w:t xml:space="preserve">                                               </w:t>
      </w:r>
      <w:r w:rsidR="002B4AD1" w:rsidRPr="002B4AD1">
        <w:rPr>
          <w:rFonts w:ascii="Times New Roman" w:eastAsia="Times New Roman" w:hAnsi="Liberation Serif"/>
          <w:sz w:val="24"/>
          <w:szCs w:val="24"/>
        </w:rPr>
        <w:t xml:space="preserve">         </w:t>
      </w:r>
      <w:r w:rsidR="00385323">
        <w:rPr>
          <w:rFonts w:ascii="Times New Roman" w:eastAsia="Times New Roman" w:hAnsi="Liberation Serif"/>
          <w:sz w:val="24"/>
          <w:szCs w:val="24"/>
        </w:rPr>
        <w:t>Р</w:t>
      </w:r>
      <w:r w:rsidR="00385323">
        <w:rPr>
          <w:rFonts w:ascii="Times New Roman" w:eastAsia="Times New Roman" w:hAnsi="Liberation Serif"/>
          <w:sz w:val="24"/>
          <w:szCs w:val="24"/>
        </w:rPr>
        <w:t>.</w:t>
      </w:r>
      <w:r w:rsidR="00385323">
        <w:rPr>
          <w:rFonts w:ascii="Times New Roman" w:eastAsia="Times New Roman" w:hAnsi="Liberation Serif"/>
          <w:sz w:val="24"/>
          <w:szCs w:val="24"/>
        </w:rPr>
        <w:t>Х</w:t>
      </w:r>
      <w:r w:rsidR="00385323">
        <w:rPr>
          <w:rFonts w:ascii="Times New Roman" w:eastAsia="Times New Roman" w:hAnsi="Liberation Serif"/>
          <w:sz w:val="24"/>
          <w:szCs w:val="24"/>
        </w:rPr>
        <w:t>.</w:t>
      </w:r>
      <w:r>
        <w:rPr>
          <w:rFonts w:ascii="Times New Roman" w:eastAsia="Times New Roman" w:hAnsi="Liberation Serif"/>
          <w:sz w:val="24"/>
          <w:szCs w:val="24"/>
        </w:rPr>
        <w:t xml:space="preserve"> </w:t>
      </w:r>
      <w:r w:rsidR="00385323">
        <w:rPr>
          <w:rFonts w:ascii="Times New Roman" w:eastAsia="Times New Roman" w:hAnsi="Liberation Serif"/>
          <w:sz w:val="24"/>
          <w:szCs w:val="24"/>
        </w:rPr>
        <w:t>Урусов</w:t>
      </w:r>
    </w:p>
    <w:p w14:paraId="41E0BADD" w14:textId="436EB248" w:rsidR="0084566D" w:rsidRDefault="0084566D"/>
    <w:sectPr w:rsidR="0084566D" w:rsidSect="00E267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E8"/>
    <w:rsid w:val="002B4AD1"/>
    <w:rsid w:val="0035041D"/>
    <w:rsid w:val="00385323"/>
    <w:rsid w:val="00486E14"/>
    <w:rsid w:val="004B386C"/>
    <w:rsid w:val="006F23E8"/>
    <w:rsid w:val="0084566D"/>
    <w:rsid w:val="00980109"/>
    <w:rsid w:val="00A37D72"/>
    <w:rsid w:val="00AA7212"/>
    <w:rsid w:val="00BD401E"/>
    <w:rsid w:val="00E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78D5"/>
  <w15:docId w15:val="{7AE2B15D-E915-4B25-BA68-52686A64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Xenia</cp:lastModifiedBy>
  <cp:revision>7</cp:revision>
  <cp:lastPrinted>2024-01-23T05:57:00Z</cp:lastPrinted>
  <dcterms:created xsi:type="dcterms:W3CDTF">2022-11-17T21:03:00Z</dcterms:created>
  <dcterms:modified xsi:type="dcterms:W3CDTF">2024-01-23T05:57:00Z</dcterms:modified>
</cp:coreProperties>
</file>